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CE" w:rsidRPr="007029ED" w:rsidRDefault="00E36FCE" w:rsidP="00E36FCE">
      <w:pPr>
        <w:spacing w:before="60"/>
        <w:jc w:val="center"/>
      </w:pPr>
      <w:r w:rsidRPr="007029ED">
        <w:rPr>
          <w:noProof/>
        </w:rPr>
        <w:drawing>
          <wp:inline distT="0" distB="0" distL="0" distR="0">
            <wp:extent cx="3575050" cy="730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5050" cy="730250"/>
                    </a:xfrm>
                    <a:prstGeom prst="rect">
                      <a:avLst/>
                    </a:prstGeom>
                    <a:noFill/>
                    <a:ln>
                      <a:noFill/>
                    </a:ln>
                  </pic:spPr>
                </pic:pic>
              </a:graphicData>
            </a:graphic>
          </wp:inline>
        </w:drawing>
      </w:r>
    </w:p>
    <w:p w:rsidR="0011751B" w:rsidRDefault="0011751B" w:rsidP="00E36FCE">
      <w:pPr>
        <w:pStyle w:val="NormalWeb"/>
        <w:jc w:val="right"/>
        <w:rPr>
          <w:i/>
          <w:sz w:val="22"/>
          <w:szCs w:val="22"/>
        </w:rPr>
      </w:pPr>
    </w:p>
    <w:p w:rsidR="00E36FCE" w:rsidRPr="00AB4C8F" w:rsidRDefault="00E36FCE" w:rsidP="00E36FCE">
      <w:pPr>
        <w:pStyle w:val="NormalWeb"/>
        <w:jc w:val="right"/>
        <w:rPr>
          <w:sz w:val="22"/>
          <w:szCs w:val="22"/>
        </w:rPr>
      </w:pPr>
      <w:r>
        <w:rPr>
          <w:i/>
          <w:sz w:val="22"/>
          <w:szCs w:val="22"/>
        </w:rPr>
        <w:t>…</w:t>
      </w:r>
      <w:r>
        <w:rPr>
          <w:sz w:val="22"/>
          <w:szCs w:val="22"/>
        </w:rPr>
        <w:t>keeping families at the center of children’s health care</w:t>
      </w:r>
    </w:p>
    <w:p w:rsidR="00E82A63" w:rsidRDefault="00E36FCE" w:rsidP="00E36FCE">
      <w:pPr>
        <w:jc w:val="both"/>
      </w:pPr>
      <w:r w:rsidRPr="007029ED">
        <w:tab/>
      </w:r>
      <w:r w:rsidRPr="007029ED">
        <w:tab/>
      </w:r>
      <w:r w:rsidRPr="007029ED">
        <w:tab/>
      </w:r>
      <w:r w:rsidRPr="007029ED">
        <w:tab/>
      </w:r>
      <w:r w:rsidRPr="007029ED">
        <w:tab/>
      </w:r>
    </w:p>
    <w:p w:rsidR="00E36FCE" w:rsidRPr="007029ED" w:rsidRDefault="00E36FCE" w:rsidP="00E36FCE">
      <w:pPr>
        <w:jc w:val="both"/>
      </w:pPr>
      <w:r w:rsidRPr="007029ED">
        <w:t xml:space="preserve"> </w:t>
      </w:r>
    </w:p>
    <w:p w:rsidR="003116F3" w:rsidRPr="00E36FCE" w:rsidRDefault="003116F3" w:rsidP="003116F3">
      <w:pPr>
        <w:spacing w:before="240"/>
        <w:jc w:val="center"/>
        <w:rPr>
          <w:b/>
          <w:sz w:val="32"/>
          <w:szCs w:val="32"/>
        </w:rPr>
      </w:pPr>
      <w:r w:rsidRPr="00E36FCE">
        <w:rPr>
          <w:b/>
          <w:sz w:val="32"/>
          <w:szCs w:val="32"/>
        </w:rPr>
        <w:t>FAMILY-TO-FAMILY HEALTH INFORMATION CENTERS (F2Fs)</w:t>
      </w:r>
      <w:r w:rsidR="00E36FCE" w:rsidRPr="00E36FCE">
        <w:rPr>
          <w:b/>
          <w:sz w:val="32"/>
          <w:szCs w:val="32"/>
        </w:rPr>
        <w:t xml:space="preserve"> </w:t>
      </w:r>
    </w:p>
    <w:p w:rsidR="003116F3" w:rsidRPr="00E36FCE" w:rsidRDefault="003116F3" w:rsidP="003116F3">
      <w:pPr>
        <w:rPr>
          <w:sz w:val="32"/>
          <w:szCs w:val="32"/>
        </w:rPr>
      </w:pPr>
    </w:p>
    <w:p w:rsidR="009B69C3" w:rsidRPr="00E36FCE" w:rsidRDefault="00E36FCE" w:rsidP="003116F3">
      <w:pPr>
        <w:rPr>
          <w:sz w:val="28"/>
          <w:szCs w:val="32"/>
        </w:rPr>
      </w:pPr>
      <w:r>
        <w:rPr>
          <w:sz w:val="28"/>
          <w:szCs w:val="32"/>
        </w:rPr>
        <w:t xml:space="preserve">The </w:t>
      </w:r>
      <w:r w:rsidR="003116F3" w:rsidRPr="00E36FCE">
        <w:rPr>
          <w:sz w:val="28"/>
          <w:szCs w:val="32"/>
        </w:rPr>
        <w:t>Bipartisan Budget Act</w:t>
      </w:r>
      <w:r>
        <w:rPr>
          <w:sz w:val="28"/>
          <w:szCs w:val="32"/>
        </w:rPr>
        <w:t xml:space="preserve"> of 2018 extended funding for</w:t>
      </w:r>
      <w:r w:rsidR="003116F3" w:rsidRPr="00E36FCE">
        <w:rPr>
          <w:sz w:val="28"/>
          <w:szCs w:val="32"/>
        </w:rPr>
        <w:t xml:space="preserve"> Family-to-Family Health Information Centers (F2F</w:t>
      </w:r>
      <w:r>
        <w:rPr>
          <w:sz w:val="28"/>
          <w:szCs w:val="32"/>
        </w:rPr>
        <w:t>s</w:t>
      </w:r>
      <w:r w:rsidR="003116F3" w:rsidRPr="00E36FCE">
        <w:rPr>
          <w:sz w:val="28"/>
          <w:szCs w:val="32"/>
        </w:rPr>
        <w:t xml:space="preserve">) </w:t>
      </w:r>
      <w:r>
        <w:rPr>
          <w:sz w:val="28"/>
          <w:szCs w:val="32"/>
        </w:rPr>
        <w:t xml:space="preserve">and authorized </w:t>
      </w:r>
      <w:r w:rsidR="00EA55F3" w:rsidRPr="00E36FCE">
        <w:rPr>
          <w:sz w:val="28"/>
          <w:szCs w:val="32"/>
        </w:rPr>
        <w:t xml:space="preserve">additional </w:t>
      </w:r>
      <w:r w:rsidR="003116F3" w:rsidRPr="00E36FCE">
        <w:rPr>
          <w:sz w:val="28"/>
          <w:szCs w:val="32"/>
        </w:rPr>
        <w:t>F2Fs to serve families</w:t>
      </w:r>
      <w:r w:rsidR="00EA55F3" w:rsidRPr="00E36FCE">
        <w:rPr>
          <w:sz w:val="28"/>
          <w:szCs w:val="32"/>
        </w:rPr>
        <w:t xml:space="preserve"> whose children have special health care needs</w:t>
      </w:r>
      <w:r w:rsidR="003116F3" w:rsidRPr="00E36FCE">
        <w:rPr>
          <w:sz w:val="28"/>
          <w:szCs w:val="32"/>
        </w:rPr>
        <w:t xml:space="preserve"> in the US territories and tribes.  That law: </w:t>
      </w:r>
    </w:p>
    <w:p w:rsidR="00D7745C" w:rsidRPr="00E36FCE" w:rsidRDefault="00D7745C" w:rsidP="009B69C3">
      <w:pPr>
        <w:jc w:val="center"/>
        <w:rPr>
          <w:sz w:val="28"/>
          <w:szCs w:val="32"/>
        </w:rPr>
      </w:pPr>
    </w:p>
    <w:p w:rsidR="009B69C3" w:rsidRPr="00E36FCE" w:rsidRDefault="00EA55F3" w:rsidP="009B69C3">
      <w:pPr>
        <w:pStyle w:val="ListParagraph"/>
        <w:numPr>
          <w:ilvl w:val="0"/>
          <w:numId w:val="1"/>
        </w:numPr>
        <w:rPr>
          <w:sz w:val="28"/>
          <w:szCs w:val="32"/>
        </w:rPr>
      </w:pPr>
      <w:r w:rsidRPr="00E36FCE">
        <w:rPr>
          <w:b/>
          <w:sz w:val="28"/>
          <w:szCs w:val="32"/>
        </w:rPr>
        <w:t>Extended</w:t>
      </w:r>
      <w:r w:rsidR="009B69C3" w:rsidRPr="00E36FCE">
        <w:rPr>
          <w:b/>
          <w:sz w:val="28"/>
          <w:szCs w:val="32"/>
        </w:rPr>
        <w:t xml:space="preserve"> F2F funding for two more years</w:t>
      </w:r>
      <w:r w:rsidR="009B69C3" w:rsidRPr="00E36FCE">
        <w:rPr>
          <w:sz w:val="28"/>
          <w:szCs w:val="32"/>
        </w:rPr>
        <w:t xml:space="preserve"> (through federal FY 2019)</w:t>
      </w:r>
      <w:r w:rsidR="00E82A63">
        <w:rPr>
          <w:sz w:val="28"/>
          <w:szCs w:val="32"/>
        </w:rPr>
        <w:t>;</w:t>
      </w:r>
    </w:p>
    <w:p w:rsidR="009B69C3" w:rsidRPr="00E36FCE" w:rsidRDefault="009B69C3" w:rsidP="009B69C3">
      <w:pPr>
        <w:ind w:firstLine="105"/>
        <w:rPr>
          <w:sz w:val="28"/>
          <w:szCs w:val="32"/>
        </w:rPr>
      </w:pPr>
    </w:p>
    <w:p w:rsidR="003116F3" w:rsidRPr="00E36FCE" w:rsidRDefault="00EA55F3" w:rsidP="003116F3">
      <w:pPr>
        <w:pStyle w:val="ListParagraph"/>
        <w:numPr>
          <w:ilvl w:val="0"/>
          <w:numId w:val="1"/>
        </w:numPr>
        <w:rPr>
          <w:sz w:val="28"/>
          <w:szCs w:val="32"/>
        </w:rPr>
      </w:pPr>
      <w:r w:rsidRPr="00E36FCE">
        <w:rPr>
          <w:b/>
          <w:sz w:val="28"/>
          <w:szCs w:val="32"/>
        </w:rPr>
        <w:t>Increased</w:t>
      </w:r>
      <w:r w:rsidR="003116F3" w:rsidRPr="00E36FCE">
        <w:rPr>
          <w:b/>
          <w:sz w:val="28"/>
          <w:szCs w:val="32"/>
        </w:rPr>
        <w:t xml:space="preserve"> funding</w:t>
      </w:r>
      <w:r w:rsidR="003116F3" w:rsidRPr="00E36FCE">
        <w:rPr>
          <w:sz w:val="28"/>
          <w:szCs w:val="32"/>
        </w:rPr>
        <w:t xml:space="preserve"> for the program from $5 million to $6 million annually</w:t>
      </w:r>
      <w:r w:rsidR="00E82A63">
        <w:rPr>
          <w:sz w:val="28"/>
          <w:szCs w:val="32"/>
        </w:rPr>
        <w:t>;</w:t>
      </w:r>
    </w:p>
    <w:p w:rsidR="003116F3" w:rsidRPr="00E36FCE" w:rsidRDefault="003116F3" w:rsidP="003116F3">
      <w:pPr>
        <w:rPr>
          <w:sz w:val="28"/>
          <w:szCs w:val="32"/>
        </w:rPr>
      </w:pPr>
    </w:p>
    <w:p w:rsidR="009B69C3" w:rsidRPr="00E36FCE" w:rsidRDefault="00EA55F3" w:rsidP="007D1BF8">
      <w:pPr>
        <w:pStyle w:val="ListParagraph"/>
        <w:numPr>
          <w:ilvl w:val="0"/>
          <w:numId w:val="1"/>
        </w:numPr>
        <w:rPr>
          <w:sz w:val="28"/>
          <w:szCs w:val="32"/>
        </w:rPr>
      </w:pPr>
      <w:r w:rsidRPr="00E36FCE">
        <w:rPr>
          <w:sz w:val="28"/>
          <w:szCs w:val="32"/>
        </w:rPr>
        <w:t>Required</w:t>
      </w:r>
      <w:r w:rsidR="003116F3" w:rsidRPr="00E36FCE">
        <w:rPr>
          <w:sz w:val="28"/>
          <w:szCs w:val="32"/>
        </w:rPr>
        <w:t xml:space="preserve"> the </w:t>
      </w:r>
      <w:r w:rsidR="009B69C3" w:rsidRPr="00E36FCE">
        <w:rPr>
          <w:sz w:val="28"/>
          <w:szCs w:val="32"/>
        </w:rPr>
        <w:t xml:space="preserve">development of F2Fs </w:t>
      </w:r>
      <w:r w:rsidR="007D1BF8" w:rsidRPr="00E36FCE">
        <w:rPr>
          <w:sz w:val="28"/>
          <w:szCs w:val="32"/>
        </w:rPr>
        <w:t>i</w:t>
      </w:r>
      <w:r w:rsidR="009B69C3" w:rsidRPr="00E36FCE">
        <w:rPr>
          <w:sz w:val="28"/>
          <w:szCs w:val="32"/>
        </w:rPr>
        <w:t xml:space="preserve">n </w:t>
      </w:r>
      <w:r w:rsidR="006136D9">
        <w:rPr>
          <w:sz w:val="28"/>
          <w:szCs w:val="32"/>
        </w:rPr>
        <w:t>five</w:t>
      </w:r>
      <w:r w:rsidR="007D1BF8" w:rsidRPr="00E36FCE">
        <w:rPr>
          <w:b/>
          <w:sz w:val="28"/>
          <w:szCs w:val="32"/>
        </w:rPr>
        <w:t xml:space="preserve"> </w:t>
      </w:r>
      <w:r w:rsidR="003116F3" w:rsidRPr="00E36FCE">
        <w:rPr>
          <w:b/>
          <w:sz w:val="28"/>
          <w:szCs w:val="32"/>
        </w:rPr>
        <w:t>US t</w:t>
      </w:r>
      <w:r w:rsidR="009B69C3" w:rsidRPr="00E36FCE">
        <w:rPr>
          <w:b/>
          <w:sz w:val="28"/>
          <w:szCs w:val="32"/>
        </w:rPr>
        <w:t>erritories</w:t>
      </w:r>
      <w:r w:rsidR="009B69C3" w:rsidRPr="00E36FCE">
        <w:rPr>
          <w:sz w:val="28"/>
          <w:szCs w:val="32"/>
        </w:rPr>
        <w:t xml:space="preserve"> </w:t>
      </w:r>
      <w:r w:rsidR="007D1BF8" w:rsidRPr="00E36FCE">
        <w:rPr>
          <w:sz w:val="28"/>
          <w:szCs w:val="32"/>
        </w:rPr>
        <w:t>(</w:t>
      </w:r>
      <w:r w:rsidR="009B69C3" w:rsidRPr="00E36FCE">
        <w:rPr>
          <w:sz w:val="28"/>
          <w:szCs w:val="32"/>
        </w:rPr>
        <w:t>American Samoa, Guam, the Northern Mariana Islands, Puerto Rico, and the US Virgin Islands</w:t>
      </w:r>
      <w:r w:rsidR="007D1BF8" w:rsidRPr="00E36FCE">
        <w:rPr>
          <w:sz w:val="28"/>
          <w:szCs w:val="32"/>
        </w:rPr>
        <w:t>)</w:t>
      </w:r>
      <w:r w:rsidR="009B69C3" w:rsidRPr="00E36FCE">
        <w:rPr>
          <w:sz w:val="28"/>
          <w:szCs w:val="32"/>
        </w:rPr>
        <w:t xml:space="preserve">; </w:t>
      </w:r>
      <w:r w:rsidR="00E82A63">
        <w:rPr>
          <w:sz w:val="28"/>
          <w:szCs w:val="32"/>
        </w:rPr>
        <w:t>and</w:t>
      </w:r>
    </w:p>
    <w:p w:rsidR="009B69C3" w:rsidRPr="00E36FCE" w:rsidRDefault="009B69C3" w:rsidP="007D1BF8">
      <w:pPr>
        <w:ind w:left="450"/>
        <w:rPr>
          <w:sz w:val="28"/>
          <w:szCs w:val="32"/>
        </w:rPr>
      </w:pPr>
    </w:p>
    <w:p w:rsidR="009B69C3" w:rsidRPr="00E36FCE" w:rsidRDefault="00EA55F3" w:rsidP="007D1BF8">
      <w:pPr>
        <w:pStyle w:val="ListParagraph"/>
        <w:numPr>
          <w:ilvl w:val="0"/>
          <w:numId w:val="1"/>
        </w:numPr>
        <w:rPr>
          <w:sz w:val="28"/>
          <w:szCs w:val="32"/>
        </w:rPr>
      </w:pPr>
      <w:r w:rsidRPr="00E36FCE">
        <w:rPr>
          <w:sz w:val="28"/>
          <w:szCs w:val="32"/>
        </w:rPr>
        <w:t xml:space="preserve">Required </w:t>
      </w:r>
      <w:r w:rsidR="007D1BF8" w:rsidRPr="00E36FCE">
        <w:rPr>
          <w:sz w:val="28"/>
          <w:szCs w:val="32"/>
        </w:rPr>
        <w:t xml:space="preserve">the development of at least </w:t>
      </w:r>
      <w:r w:rsidR="009B69C3" w:rsidRPr="00E36FCE">
        <w:rPr>
          <w:sz w:val="28"/>
          <w:szCs w:val="32"/>
        </w:rPr>
        <w:t xml:space="preserve">one </w:t>
      </w:r>
      <w:r w:rsidR="007D1BF8" w:rsidRPr="00E36FCE">
        <w:rPr>
          <w:sz w:val="28"/>
          <w:szCs w:val="32"/>
        </w:rPr>
        <w:t xml:space="preserve">F2F for </w:t>
      </w:r>
      <w:r w:rsidR="009B69C3" w:rsidRPr="00E36FCE">
        <w:rPr>
          <w:b/>
          <w:sz w:val="28"/>
          <w:szCs w:val="32"/>
        </w:rPr>
        <w:t>Indian tribe</w:t>
      </w:r>
      <w:r w:rsidR="007D1BF8" w:rsidRPr="00E36FCE">
        <w:rPr>
          <w:b/>
          <w:sz w:val="28"/>
          <w:szCs w:val="32"/>
        </w:rPr>
        <w:t>s</w:t>
      </w:r>
      <w:r w:rsidR="009B69C3" w:rsidRPr="00E36FCE">
        <w:rPr>
          <w:sz w:val="28"/>
          <w:szCs w:val="32"/>
        </w:rPr>
        <w:t>.</w:t>
      </w:r>
    </w:p>
    <w:p w:rsidR="003116F3" w:rsidRPr="00E36FCE" w:rsidRDefault="003116F3" w:rsidP="003116F3">
      <w:pPr>
        <w:rPr>
          <w:sz w:val="28"/>
          <w:szCs w:val="32"/>
        </w:rPr>
      </w:pPr>
    </w:p>
    <w:p w:rsidR="00E36FCE" w:rsidRPr="00E36FCE" w:rsidRDefault="00E82A63" w:rsidP="00E36FCE">
      <w:pPr>
        <w:rPr>
          <w:sz w:val="28"/>
          <w:szCs w:val="32"/>
        </w:rPr>
      </w:pPr>
      <w:r>
        <w:rPr>
          <w:sz w:val="28"/>
          <w:szCs w:val="32"/>
        </w:rPr>
        <w:t>Currently,</w:t>
      </w:r>
      <w:r w:rsidR="00EA55F3" w:rsidRPr="00E36FCE">
        <w:rPr>
          <w:sz w:val="28"/>
          <w:szCs w:val="32"/>
        </w:rPr>
        <w:t xml:space="preserve"> </w:t>
      </w:r>
      <w:r>
        <w:rPr>
          <w:sz w:val="28"/>
          <w:szCs w:val="32"/>
        </w:rPr>
        <w:t xml:space="preserve">there is an </w:t>
      </w:r>
      <w:r w:rsidR="00E36FCE">
        <w:rPr>
          <w:sz w:val="28"/>
          <w:szCs w:val="32"/>
        </w:rPr>
        <w:t xml:space="preserve">F2F </w:t>
      </w:r>
      <w:r>
        <w:rPr>
          <w:sz w:val="28"/>
          <w:szCs w:val="32"/>
        </w:rPr>
        <w:t xml:space="preserve">grantee </w:t>
      </w:r>
      <w:r w:rsidR="00EA55F3" w:rsidRPr="00E36FCE">
        <w:rPr>
          <w:sz w:val="28"/>
          <w:szCs w:val="32"/>
        </w:rPr>
        <w:t xml:space="preserve">in each state and territory and the District of Columbia. Grants were also awarded to organizations in </w:t>
      </w:r>
      <w:r w:rsidR="00EA55F3" w:rsidRPr="00E14A5E">
        <w:rPr>
          <w:sz w:val="28"/>
          <w:szCs w:val="32"/>
        </w:rPr>
        <w:t>Alaska, Arizona, and New Mexico</w:t>
      </w:r>
      <w:r w:rsidR="00EA55F3" w:rsidRPr="00E36FCE">
        <w:rPr>
          <w:sz w:val="28"/>
          <w:szCs w:val="32"/>
        </w:rPr>
        <w:t xml:space="preserve"> to serve American Indian and Alaska Native families whose children have special health care needs.  </w:t>
      </w:r>
      <w:r w:rsidR="00E36FCE" w:rsidRPr="00E36FCE">
        <w:rPr>
          <w:sz w:val="28"/>
          <w:szCs w:val="32"/>
        </w:rPr>
        <w:t xml:space="preserve"> </w:t>
      </w:r>
    </w:p>
    <w:p w:rsidR="00E36FCE" w:rsidRPr="00E36FCE" w:rsidRDefault="00E36FCE" w:rsidP="00E36FCE">
      <w:pPr>
        <w:rPr>
          <w:sz w:val="28"/>
          <w:szCs w:val="32"/>
        </w:rPr>
      </w:pPr>
    </w:p>
    <w:p w:rsidR="00E36FCE" w:rsidRPr="00E36FCE" w:rsidRDefault="00E36FCE" w:rsidP="00E36FCE">
      <w:pPr>
        <w:rPr>
          <w:sz w:val="28"/>
          <w:szCs w:val="32"/>
        </w:rPr>
      </w:pPr>
      <w:r w:rsidRPr="00E36FCE">
        <w:rPr>
          <w:sz w:val="28"/>
          <w:szCs w:val="32"/>
        </w:rPr>
        <w:t xml:space="preserve">Each grantee will receive $96,750, about the same amount as in previous years.  </w:t>
      </w:r>
    </w:p>
    <w:p w:rsidR="00EA55F3" w:rsidRPr="00E36FCE" w:rsidRDefault="00EA55F3" w:rsidP="003116F3">
      <w:pPr>
        <w:rPr>
          <w:sz w:val="28"/>
          <w:szCs w:val="32"/>
        </w:rPr>
      </w:pPr>
    </w:p>
    <w:p w:rsidR="00E82A63" w:rsidRDefault="00E82A63" w:rsidP="003116F3">
      <w:pPr>
        <w:rPr>
          <w:sz w:val="28"/>
          <w:szCs w:val="32"/>
        </w:rPr>
      </w:pPr>
      <w:r w:rsidRPr="00B723A0">
        <w:rPr>
          <w:b/>
          <w:sz w:val="28"/>
          <w:szCs w:val="32"/>
        </w:rPr>
        <w:t xml:space="preserve">Funding </w:t>
      </w:r>
      <w:r w:rsidR="00E36FCE" w:rsidRPr="00B723A0">
        <w:rPr>
          <w:b/>
          <w:sz w:val="28"/>
          <w:szCs w:val="32"/>
        </w:rPr>
        <w:t xml:space="preserve">for the </w:t>
      </w:r>
      <w:r w:rsidR="00EA55F3" w:rsidRPr="00B723A0">
        <w:rPr>
          <w:b/>
          <w:sz w:val="28"/>
          <w:szCs w:val="32"/>
        </w:rPr>
        <w:t xml:space="preserve">F2F grant program </w:t>
      </w:r>
      <w:r w:rsidRPr="00B723A0">
        <w:rPr>
          <w:b/>
          <w:sz w:val="28"/>
          <w:szCs w:val="32"/>
        </w:rPr>
        <w:t>is needed beyond FY 2019</w:t>
      </w:r>
      <w:r>
        <w:rPr>
          <w:sz w:val="28"/>
          <w:szCs w:val="32"/>
        </w:rPr>
        <w:t xml:space="preserve"> </w:t>
      </w:r>
      <w:r w:rsidR="00E36FCE">
        <w:rPr>
          <w:sz w:val="28"/>
          <w:szCs w:val="32"/>
        </w:rPr>
        <w:t xml:space="preserve">to ensure </w:t>
      </w:r>
      <w:r w:rsidR="00E36FCE" w:rsidRPr="00E36FCE">
        <w:rPr>
          <w:sz w:val="28"/>
          <w:szCs w:val="32"/>
        </w:rPr>
        <w:t xml:space="preserve">that families of children with special health care needs continue to </w:t>
      </w:r>
      <w:r w:rsidR="00E36FCE">
        <w:rPr>
          <w:sz w:val="28"/>
          <w:szCs w:val="32"/>
        </w:rPr>
        <w:t xml:space="preserve">receive the valuable </w:t>
      </w:r>
      <w:r w:rsidR="00E36FCE" w:rsidRPr="00E36FCE">
        <w:rPr>
          <w:sz w:val="28"/>
          <w:szCs w:val="32"/>
        </w:rPr>
        <w:t xml:space="preserve">guidance </w:t>
      </w:r>
      <w:r w:rsidR="00E36FCE">
        <w:rPr>
          <w:sz w:val="28"/>
          <w:szCs w:val="32"/>
        </w:rPr>
        <w:t xml:space="preserve">that F2Fs provide about how to obtain and finance timely, </w:t>
      </w:r>
      <w:r w:rsidR="00E36FCE" w:rsidRPr="00E36FCE">
        <w:rPr>
          <w:sz w:val="28"/>
          <w:szCs w:val="32"/>
        </w:rPr>
        <w:t xml:space="preserve">appropriate </w:t>
      </w:r>
      <w:r w:rsidR="00E36FCE">
        <w:rPr>
          <w:sz w:val="28"/>
          <w:szCs w:val="32"/>
        </w:rPr>
        <w:t xml:space="preserve">and quality </w:t>
      </w:r>
      <w:r w:rsidR="00E36FCE" w:rsidRPr="00E36FCE">
        <w:rPr>
          <w:sz w:val="28"/>
          <w:szCs w:val="32"/>
        </w:rPr>
        <w:t xml:space="preserve">care for their </w:t>
      </w:r>
      <w:r w:rsidR="00E36FCE">
        <w:rPr>
          <w:sz w:val="28"/>
          <w:szCs w:val="32"/>
        </w:rPr>
        <w:t>children.</w:t>
      </w:r>
      <w:r w:rsidR="00AB0DDF">
        <w:rPr>
          <w:sz w:val="28"/>
          <w:szCs w:val="32"/>
        </w:rPr>
        <w:t xml:space="preserve">  </w:t>
      </w:r>
    </w:p>
    <w:p w:rsidR="00E82A63" w:rsidRDefault="00E82A63" w:rsidP="003116F3">
      <w:pPr>
        <w:rPr>
          <w:sz w:val="28"/>
          <w:szCs w:val="32"/>
        </w:rPr>
      </w:pPr>
    </w:p>
    <w:p w:rsidR="00E82A63" w:rsidRDefault="00E82A63" w:rsidP="003116F3">
      <w:pPr>
        <w:rPr>
          <w:sz w:val="28"/>
          <w:szCs w:val="32"/>
        </w:rPr>
      </w:pPr>
    </w:p>
    <w:p w:rsidR="00E82A63" w:rsidRDefault="00E82A63" w:rsidP="00E82A63">
      <w:pPr>
        <w:jc w:val="center"/>
        <w:rPr>
          <w:i/>
          <w:sz w:val="22"/>
          <w:szCs w:val="32"/>
        </w:rPr>
      </w:pPr>
      <w:r w:rsidRPr="00E82A63">
        <w:rPr>
          <w:i/>
          <w:sz w:val="22"/>
          <w:szCs w:val="32"/>
        </w:rPr>
        <w:t xml:space="preserve">Family Voices contact: Janis Guerney at </w:t>
      </w:r>
      <w:hyperlink r:id="rId6" w:history="1">
        <w:r w:rsidRPr="00E82A63">
          <w:rPr>
            <w:rStyle w:val="Hyperlink"/>
            <w:i/>
            <w:sz w:val="22"/>
            <w:szCs w:val="32"/>
          </w:rPr>
          <w:t>jguerney@familyvoices.org</w:t>
        </w:r>
      </w:hyperlink>
      <w:r w:rsidRPr="00E82A63">
        <w:rPr>
          <w:i/>
          <w:sz w:val="22"/>
          <w:szCs w:val="32"/>
        </w:rPr>
        <w:t xml:space="preserve"> or 202/669-5233</w:t>
      </w:r>
    </w:p>
    <w:p w:rsidR="00E82A63" w:rsidRDefault="00E82A63" w:rsidP="00E82A63">
      <w:pPr>
        <w:jc w:val="center"/>
        <w:rPr>
          <w:i/>
          <w:sz w:val="18"/>
          <w:szCs w:val="32"/>
        </w:rPr>
      </w:pPr>
    </w:p>
    <w:p w:rsidR="0068128C" w:rsidRDefault="006D46B4" w:rsidP="00E82A63">
      <w:pPr>
        <w:jc w:val="right"/>
        <w:rPr>
          <w:i/>
          <w:sz w:val="18"/>
          <w:szCs w:val="32"/>
        </w:rPr>
      </w:pPr>
      <w:r>
        <w:rPr>
          <w:i/>
          <w:sz w:val="18"/>
          <w:szCs w:val="32"/>
        </w:rPr>
        <w:t>(</w:t>
      </w:r>
      <w:r w:rsidR="005B6CBD">
        <w:rPr>
          <w:i/>
          <w:sz w:val="18"/>
          <w:szCs w:val="32"/>
        </w:rPr>
        <w:t>12/04/18)</w:t>
      </w:r>
    </w:p>
    <w:p w:rsidR="009E35D0" w:rsidRPr="0068128C" w:rsidRDefault="0068128C">
      <w:pPr>
        <w:spacing w:before="100" w:beforeAutospacing="1" w:after="100" w:afterAutospacing="1"/>
        <w:rPr>
          <w:i/>
          <w:sz w:val="18"/>
          <w:szCs w:val="32"/>
        </w:rPr>
      </w:pPr>
      <w:r>
        <w:rPr>
          <w:i/>
          <w:sz w:val="18"/>
          <w:szCs w:val="32"/>
        </w:rPr>
        <w:br w:type="page"/>
      </w:r>
    </w:p>
    <w:p w:rsidR="009E35D0" w:rsidRPr="009E35D0" w:rsidRDefault="009E35D0" w:rsidP="009E35D0">
      <w:pPr>
        <w:jc w:val="center"/>
        <w:rPr>
          <w:rFonts w:eastAsia="Calibri"/>
          <w:b/>
          <w:sz w:val="28"/>
          <w:szCs w:val="32"/>
        </w:rPr>
      </w:pPr>
      <w:r w:rsidRPr="009E35D0">
        <w:rPr>
          <w:rFonts w:eastAsia="Calibri"/>
          <w:b/>
          <w:sz w:val="28"/>
          <w:szCs w:val="32"/>
        </w:rPr>
        <w:lastRenderedPageBreak/>
        <w:t>FUNDING HISTORY FOR</w:t>
      </w:r>
    </w:p>
    <w:p w:rsidR="009E35D0" w:rsidRPr="009E35D0" w:rsidRDefault="009E35D0" w:rsidP="009E35D0">
      <w:pPr>
        <w:jc w:val="center"/>
        <w:rPr>
          <w:rFonts w:eastAsia="Calibri"/>
          <w:b/>
          <w:sz w:val="28"/>
          <w:szCs w:val="32"/>
        </w:rPr>
      </w:pPr>
      <w:r w:rsidRPr="009E35D0">
        <w:rPr>
          <w:rFonts w:eastAsia="Calibri"/>
          <w:b/>
          <w:sz w:val="28"/>
          <w:szCs w:val="32"/>
        </w:rPr>
        <w:t>FAMILY-TO-FAMILY HEALTH INFORMATION CENTERS</w:t>
      </w:r>
    </w:p>
    <w:p w:rsidR="009E35D0" w:rsidRPr="0014546A" w:rsidRDefault="009E35D0" w:rsidP="009E35D0">
      <w:pPr>
        <w:rPr>
          <w:rFonts w:ascii="Calibri" w:eastAsia="Calibri" w:hAnsi="Calibri"/>
          <w:b/>
          <w:u w:val="single"/>
        </w:rPr>
      </w:pPr>
    </w:p>
    <w:p w:rsidR="009E35D0" w:rsidRPr="00420CE5" w:rsidRDefault="009E35D0" w:rsidP="009E35D0">
      <w:pPr>
        <w:spacing w:after="80"/>
        <w:rPr>
          <w:rFonts w:eastAsia="Calibri"/>
          <w:sz w:val="22"/>
        </w:rPr>
      </w:pPr>
      <w:r w:rsidRPr="00420CE5">
        <w:rPr>
          <w:rFonts w:eastAsia="Calibri"/>
          <w:b/>
          <w:bCs/>
          <w:sz w:val="22"/>
          <w:u w:val="single"/>
        </w:rPr>
        <w:t>1999</w:t>
      </w:r>
      <w:r>
        <w:rPr>
          <w:rFonts w:eastAsia="Calibri"/>
          <w:b/>
          <w:bCs/>
          <w:sz w:val="22"/>
          <w:u w:val="single"/>
        </w:rPr>
        <w:t>-2006</w:t>
      </w:r>
      <w:r w:rsidRPr="00420CE5">
        <w:rPr>
          <w:rFonts w:eastAsia="Calibri"/>
          <w:b/>
          <w:bCs/>
          <w:sz w:val="22"/>
        </w:rPr>
        <w:t>:</w:t>
      </w:r>
      <w:r w:rsidRPr="00420CE5">
        <w:rPr>
          <w:rFonts w:eastAsia="Calibri"/>
          <w:sz w:val="22"/>
        </w:rPr>
        <w:t xml:space="preserve"> </w:t>
      </w:r>
      <w:r>
        <w:rPr>
          <w:rFonts w:eastAsia="Calibri"/>
          <w:sz w:val="22"/>
        </w:rPr>
        <w:t xml:space="preserve">Family-to-Family Health Information Centers were developed in some states with the support of Family Voices and </w:t>
      </w:r>
      <w:r w:rsidRPr="00420CE5">
        <w:rPr>
          <w:rFonts w:eastAsia="Calibri"/>
          <w:sz w:val="22"/>
        </w:rPr>
        <w:t>funding from the</w:t>
      </w:r>
      <w:r>
        <w:rPr>
          <w:rFonts w:eastAsia="Calibri"/>
          <w:sz w:val="22"/>
        </w:rPr>
        <w:t xml:space="preserve"> Robert Wood Johnson Foundation, </w:t>
      </w:r>
      <w:r w:rsidRPr="00420CE5">
        <w:rPr>
          <w:rFonts w:eastAsia="Calibri"/>
          <w:sz w:val="22"/>
        </w:rPr>
        <w:t>the Maternal Child Health Bureau</w:t>
      </w:r>
      <w:r>
        <w:rPr>
          <w:rFonts w:eastAsia="Calibri"/>
          <w:sz w:val="22"/>
        </w:rPr>
        <w:t xml:space="preserve"> (</w:t>
      </w:r>
      <w:proofErr w:type="spellStart"/>
      <w:r>
        <w:rPr>
          <w:rFonts w:eastAsia="Calibri"/>
          <w:sz w:val="22"/>
        </w:rPr>
        <w:t>MCHB</w:t>
      </w:r>
      <w:proofErr w:type="spellEnd"/>
      <w:r>
        <w:rPr>
          <w:rFonts w:eastAsia="Calibri"/>
          <w:sz w:val="22"/>
        </w:rPr>
        <w:t>)</w:t>
      </w:r>
      <w:r w:rsidRPr="00420CE5">
        <w:rPr>
          <w:rFonts w:eastAsia="Calibri"/>
          <w:sz w:val="22"/>
        </w:rPr>
        <w:t xml:space="preserve">, </w:t>
      </w:r>
      <w:r>
        <w:rPr>
          <w:rFonts w:eastAsia="Calibri"/>
          <w:sz w:val="22"/>
        </w:rPr>
        <w:t xml:space="preserve">and the </w:t>
      </w:r>
      <w:r w:rsidRPr="00420CE5">
        <w:rPr>
          <w:rFonts w:eastAsia="Calibri"/>
          <w:sz w:val="22"/>
        </w:rPr>
        <w:t>Centers for Medicare and Medicaid Services (CMS)</w:t>
      </w:r>
      <w:r>
        <w:rPr>
          <w:rFonts w:eastAsia="Calibri"/>
          <w:sz w:val="22"/>
        </w:rPr>
        <w:t xml:space="preserve">. </w:t>
      </w:r>
    </w:p>
    <w:p w:rsidR="009E35D0" w:rsidRDefault="009E35D0" w:rsidP="009E35D0">
      <w:pPr>
        <w:rPr>
          <w:rFonts w:eastAsia="Calibri"/>
          <w:sz w:val="22"/>
        </w:rPr>
      </w:pPr>
      <w:r>
        <w:rPr>
          <w:rFonts w:eastAsia="Calibri"/>
          <w:b/>
          <w:sz w:val="22"/>
          <w:u w:val="single"/>
        </w:rPr>
        <w:t>FYs 2007</w:t>
      </w:r>
      <w:r w:rsidRPr="00420CE5">
        <w:rPr>
          <w:rFonts w:eastAsia="Calibri"/>
          <w:b/>
          <w:sz w:val="22"/>
          <w:u w:val="single"/>
        </w:rPr>
        <w:t>-present</w:t>
      </w:r>
      <w:r w:rsidRPr="00420CE5">
        <w:rPr>
          <w:rFonts w:eastAsia="Calibri"/>
          <w:b/>
          <w:sz w:val="22"/>
        </w:rPr>
        <w:t>:</w:t>
      </w:r>
      <w:r w:rsidRPr="00420CE5">
        <w:rPr>
          <w:rFonts w:eastAsia="Calibri"/>
          <w:sz w:val="22"/>
        </w:rPr>
        <w:t xml:space="preserve"> The Family Opportunity Act (part of the Deficit Reduction Act of 2005), </w:t>
      </w:r>
      <w:r w:rsidRPr="000F2EAF">
        <w:rPr>
          <w:rFonts w:eastAsia="Calibri"/>
          <w:i/>
          <w:sz w:val="22"/>
        </w:rPr>
        <w:t>as amended</w:t>
      </w:r>
      <w:r w:rsidRPr="00420CE5">
        <w:rPr>
          <w:rFonts w:eastAsia="Calibri"/>
          <w:sz w:val="22"/>
        </w:rPr>
        <w:t xml:space="preserve"> </w:t>
      </w:r>
      <w:r w:rsidRPr="00CF0020">
        <w:rPr>
          <w:rFonts w:eastAsia="Calibri"/>
          <w:i/>
          <w:sz w:val="22"/>
        </w:rPr>
        <w:t>subsequently</w:t>
      </w:r>
      <w:r>
        <w:rPr>
          <w:rFonts w:eastAsia="Calibri"/>
          <w:sz w:val="22"/>
        </w:rPr>
        <w:t xml:space="preserve"> </w:t>
      </w:r>
      <w:r w:rsidRPr="00420CE5">
        <w:rPr>
          <w:rFonts w:eastAsia="Calibri"/>
          <w:sz w:val="22"/>
        </w:rPr>
        <w:t xml:space="preserve">(see table below), has authorized and funded F2Fs. </w:t>
      </w:r>
      <w:r>
        <w:rPr>
          <w:rFonts w:eastAsia="Calibri"/>
          <w:sz w:val="22"/>
        </w:rPr>
        <w:t xml:space="preserve">After a phase-in period, one grant has been awarded in each state and DC since 2009. Through FY 2017 total program spending was $5 million per year.  Beginning in 2018, an F2F will be established in each of the US territories (American Samoa, Guam, Northern Mariana Islands, Puerto Rico, and the US Virgin Islands) and three be established to serve Indian tribes. </w:t>
      </w:r>
      <w:r w:rsidRPr="00420CE5">
        <w:rPr>
          <w:rFonts w:eastAsia="Calibri"/>
          <w:sz w:val="22"/>
        </w:rPr>
        <w:t xml:space="preserve">Funding is </w:t>
      </w:r>
      <w:r>
        <w:rPr>
          <w:rFonts w:eastAsia="Calibri"/>
          <w:sz w:val="22"/>
        </w:rPr>
        <w:t>automatic</w:t>
      </w:r>
      <w:r w:rsidRPr="00420CE5">
        <w:rPr>
          <w:rFonts w:eastAsia="Calibri"/>
          <w:sz w:val="22"/>
        </w:rPr>
        <w:t xml:space="preserve"> (not appropriated)</w:t>
      </w:r>
      <w:r>
        <w:rPr>
          <w:rFonts w:eastAsia="Calibri"/>
          <w:sz w:val="22"/>
        </w:rPr>
        <w:t xml:space="preserve"> once authorization is extended. Total program funding for FYs 2018-19 will be $6 million per year.</w:t>
      </w:r>
    </w:p>
    <w:p w:rsidR="009E35D0" w:rsidRPr="0014546A" w:rsidRDefault="009E35D0" w:rsidP="009E35D0">
      <w:pPr>
        <w:rPr>
          <w:rFonts w:eastAsia="Calibri"/>
        </w:rPr>
      </w:pPr>
    </w:p>
    <w:tbl>
      <w:tblPr>
        <w:tblStyle w:val="TableGrid"/>
        <w:tblW w:w="0" w:type="auto"/>
        <w:tblInd w:w="-275" w:type="dxa"/>
        <w:tblLook w:val="04A0" w:firstRow="1" w:lastRow="0" w:firstColumn="1" w:lastColumn="0" w:noHBand="0" w:noVBand="1"/>
      </w:tblPr>
      <w:tblGrid>
        <w:gridCol w:w="2983"/>
        <w:gridCol w:w="2121"/>
        <w:gridCol w:w="2150"/>
        <w:gridCol w:w="2371"/>
      </w:tblGrid>
      <w:tr w:rsidR="009E35D0" w:rsidRPr="0014546A" w:rsidTr="00C34E71">
        <w:trPr>
          <w:trHeight w:val="674"/>
        </w:trPr>
        <w:tc>
          <w:tcPr>
            <w:tcW w:w="3240" w:type="dxa"/>
            <w:tcBorders>
              <w:bottom w:val="single" w:sz="12" w:space="0" w:color="auto"/>
            </w:tcBorders>
            <w:vAlign w:val="center"/>
          </w:tcPr>
          <w:p w:rsidR="009E35D0" w:rsidRPr="0014546A" w:rsidRDefault="009E35D0" w:rsidP="00C34E71">
            <w:pPr>
              <w:jc w:val="center"/>
              <w:rPr>
                <w:rFonts w:eastAsia="Calibri"/>
                <w:b/>
                <w:sz w:val="22"/>
                <w:szCs w:val="22"/>
              </w:rPr>
            </w:pPr>
            <w:r w:rsidRPr="0014546A">
              <w:rPr>
                <w:rFonts w:eastAsia="Calibri"/>
                <w:b/>
                <w:sz w:val="22"/>
                <w:szCs w:val="22"/>
              </w:rPr>
              <w:t>Law</w:t>
            </w:r>
          </w:p>
        </w:tc>
        <w:tc>
          <w:tcPr>
            <w:tcW w:w="2340" w:type="dxa"/>
            <w:tcBorders>
              <w:bottom w:val="single" w:sz="12" w:space="0" w:color="auto"/>
            </w:tcBorders>
            <w:vAlign w:val="center"/>
          </w:tcPr>
          <w:p w:rsidR="009E35D0" w:rsidRPr="0014546A" w:rsidRDefault="009E35D0" w:rsidP="00C34E71">
            <w:pPr>
              <w:jc w:val="center"/>
              <w:rPr>
                <w:rFonts w:eastAsia="Calibri"/>
                <w:b/>
                <w:sz w:val="22"/>
                <w:szCs w:val="22"/>
              </w:rPr>
            </w:pPr>
            <w:r w:rsidRPr="0014546A">
              <w:rPr>
                <w:rFonts w:eastAsia="Calibri"/>
                <w:b/>
                <w:sz w:val="22"/>
                <w:szCs w:val="22"/>
              </w:rPr>
              <w:t>Federal Fiscal Year funded (10/1-9/30)</w:t>
            </w:r>
          </w:p>
        </w:tc>
        <w:tc>
          <w:tcPr>
            <w:tcW w:w="2340" w:type="dxa"/>
            <w:tcBorders>
              <w:bottom w:val="single" w:sz="12" w:space="0" w:color="auto"/>
            </w:tcBorders>
            <w:vAlign w:val="center"/>
          </w:tcPr>
          <w:p w:rsidR="009E35D0" w:rsidRPr="0014546A" w:rsidRDefault="009E35D0" w:rsidP="00C34E71">
            <w:pPr>
              <w:jc w:val="center"/>
              <w:rPr>
                <w:rFonts w:eastAsia="Calibri"/>
                <w:b/>
                <w:sz w:val="22"/>
                <w:szCs w:val="22"/>
              </w:rPr>
            </w:pPr>
            <w:r w:rsidRPr="0014546A">
              <w:rPr>
                <w:rFonts w:eastAsia="Calibri"/>
                <w:b/>
                <w:sz w:val="22"/>
                <w:szCs w:val="22"/>
              </w:rPr>
              <w:t>Grant cycle funded</w:t>
            </w:r>
          </w:p>
          <w:p w:rsidR="009E35D0" w:rsidRPr="0014546A" w:rsidRDefault="009E35D0" w:rsidP="00C34E71">
            <w:pPr>
              <w:jc w:val="center"/>
              <w:rPr>
                <w:rFonts w:eastAsia="Calibri"/>
                <w:b/>
                <w:sz w:val="22"/>
                <w:szCs w:val="22"/>
              </w:rPr>
            </w:pPr>
            <w:r w:rsidRPr="0014546A">
              <w:rPr>
                <w:rFonts w:eastAsia="Calibri"/>
                <w:b/>
                <w:sz w:val="22"/>
                <w:szCs w:val="22"/>
              </w:rPr>
              <w:t>(June 1-May 31)</w:t>
            </w:r>
          </w:p>
        </w:tc>
        <w:tc>
          <w:tcPr>
            <w:tcW w:w="2610" w:type="dxa"/>
            <w:tcBorders>
              <w:bottom w:val="single" w:sz="12" w:space="0" w:color="auto"/>
            </w:tcBorders>
            <w:vAlign w:val="center"/>
          </w:tcPr>
          <w:p w:rsidR="009E35D0" w:rsidRPr="0014546A" w:rsidRDefault="009E35D0" w:rsidP="00C34E71">
            <w:pPr>
              <w:jc w:val="center"/>
              <w:rPr>
                <w:rFonts w:eastAsia="Calibri"/>
                <w:b/>
                <w:sz w:val="22"/>
                <w:szCs w:val="22"/>
              </w:rPr>
            </w:pPr>
            <w:r w:rsidRPr="0014546A">
              <w:rPr>
                <w:rFonts w:eastAsia="Calibri"/>
                <w:b/>
                <w:sz w:val="22"/>
                <w:szCs w:val="22"/>
              </w:rPr>
              <w:t>Amount</w:t>
            </w:r>
          </w:p>
          <w:p w:rsidR="009E35D0" w:rsidRPr="0014546A" w:rsidRDefault="009E35D0" w:rsidP="00C34E71">
            <w:pPr>
              <w:jc w:val="center"/>
              <w:rPr>
                <w:rFonts w:eastAsia="Calibri"/>
                <w:b/>
                <w:sz w:val="22"/>
                <w:szCs w:val="22"/>
              </w:rPr>
            </w:pPr>
            <w:r w:rsidRPr="0014546A">
              <w:rPr>
                <w:rFonts w:eastAsia="Calibri"/>
                <w:b/>
                <w:sz w:val="22"/>
                <w:szCs w:val="22"/>
              </w:rPr>
              <w:t>(per Federal FY)</w:t>
            </w:r>
          </w:p>
        </w:tc>
      </w:tr>
      <w:tr w:rsidR="009E35D0" w:rsidRPr="0014546A" w:rsidTr="00C34E71">
        <w:tc>
          <w:tcPr>
            <w:tcW w:w="3240" w:type="dxa"/>
            <w:tcBorders>
              <w:top w:val="single" w:sz="12" w:space="0" w:color="auto"/>
            </w:tcBorders>
          </w:tcPr>
          <w:p w:rsidR="009E35D0" w:rsidRPr="00DD7D65" w:rsidRDefault="009E35D0" w:rsidP="00C34E71">
            <w:pPr>
              <w:rPr>
                <w:rFonts w:eastAsia="Calibri"/>
                <w:vanish/>
                <w:sz w:val="22"/>
                <w:szCs w:val="22"/>
              </w:rPr>
            </w:pPr>
            <w:r w:rsidRPr="0014546A">
              <w:rPr>
                <w:rFonts w:eastAsia="Calibri"/>
                <w:sz w:val="22"/>
                <w:szCs w:val="22"/>
              </w:rPr>
              <w:t>Family Opportunity Act (</w:t>
            </w:r>
            <w:proofErr w:type="spellStart"/>
            <w:r w:rsidRPr="0014546A">
              <w:rPr>
                <w:rFonts w:eastAsia="Calibri"/>
                <w:sz w:val="22"/>
                <w:szCs w:val="22"/>
              </w:rPr>
              <w:t>FOA</w:t>
            </w:r>
            <w:proofErr w:type="spellEnd"/>
            <w:r w:rsidRPr="0014546A">
              <w:rPr>
                <w:rFonts w:eastAsia="Calibri"/>
                <w:sz w:val="22"/>
                <w:szCs w:val="22"/>
              </w:rPr>
              <w:t xml:space="preserve">)/Deficit Reduction Act of 2005 </w:t>
            </w:r>
            <w:r>
              <w:rPr>
                <w:rFonts w:eastAsia="Calibri"/>
                <w:sz w:val="22"/>
                <w:szCs w:val="22"/>
              </w:rPr>
              <w:t xml:space="preserve">(2/8/06) </w:t>
            </w:r>
            <w:r w:rsidRPr="00DD7D65">
              <w:rPr>
                <w:rFonts w:eastAsia="Calibri"/>
                <w:vanish/>
                <w:sz w:val="22"/>
                <w:szCs w:val="22"/>
              </w:rPr>
              <w:t>Grassley</w:t>
            </w:r>
            <w:r>
              <w:rPr>
                <w:rFonts w:eastAsia="Calibri"/>
                <w:vanish/>
                <w:sz w:val="22"/>
                <w:szCs w:val="22"/>
              </w:rPr>
              <w:t xml:space="preserve">/Barton </w:t>
            </w:r>
          </w:p>
        </w:tc>
        <w:tc>
          <w:tcPr>
            <w:tcW w:w="2340" w:type="dxa"/>
            <w:tcBorders>
              <w:top w:val="single" w:sz="12" w:space="0" w:color="auto"/>
            </w:tcBorders>
          </w:tcPr>
          <w:p w:rsidR="009E35D0" w:rsidRPr="0014546A" w:rsidRDefault="009E35D0" w:rsidP="00C34E71">
            <w:pPr>
              <w:rPr>
                <w:rFonts w:eastAsia="Calibri"/>
                <w:sz w:val="22"/>
                <w:szCs w:val="22"/>
              </w:rPr>
            </w:pPr>
            <w:proofErr w:type="spellStart"/>
            <w:r w:rsidRPr="0014546A">
              <w:rPr>
                <w:rFonts w:eastAsia="Calibri"/>
                <w:sz w:val="22"/>
                <w:szCs w:val="22"/>
              </w:rPr>
              <w:t>FFYs</w:t>
            </w:r>
            <w:proofErr w:type="spellEnd"/>
            <w:r w:rsidRPr="0014546A">
              <w:rPr>
                <w:rFonts w:eastAsia="Calibri"/>
                <w:sz w:val="22"/>
                <w:szCs w:val="22"/>
              </w:rPr>
              <w:t xml:space="preserve"> 2007, 2008, 2009</w:t>
            </w:r>
          </w:p>
        </w:tc>
        <w:tc>
          <w:tcPr>
            <w:tcW w:w="2340" w:type="dxa"/>
            <w:tcBorders>
              <w:top w:val="single" w:sz="12" w:space="0" w:color="auto"/>
            </w:tcBorders>
          </w:tcPr>
          <w:p w:rsidR="009E35D0" w:rsidRPr="0014546A" w:rsidRDefault="009E35D0" w:rsidP="00C34E71">
            <w:pPr>
              <w:rPr>
                <w:rFonts w:eastAsia="Calibri"/>
                <w:sz w:val="22"/>
                <w:szCs w:val="22"/>
              </w:rPr>
            </w:pPr>
            <w:r w:rsidRPr="0014546A">
              <w:rPr>
                <w:rFonts w:eastAsia="Calibri"/>
                <w:sz w:val="22"/>
                <w:szCs w:val="22"/>
              </w:rPr>
              <w:t>Through May 2010</w:t>
            </w:r>
          </w:p>
        </w:tc>
        <w:tc>
          <w:tcPr>
            <w:tcW w:w="2610" w:type="dxa"/>
            <w:tcBorders>
              <w:top w:val="single" w:sz="12" w:space="0" w:color="auto"/>
            </w:tcBorders>
          </w:tcPr>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2007 -  $3 million </w:t>
            </w:r>
          </w:p>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2008 -  $4 million</w:t>
            </w:r>
          </w:p>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2009 -  $5 million</w:t>
            </w:r>
          </w:p>
        </w:tc>
      </w:tr>
      <w:tr w:rsidR="009E35D0" w:rsidRPr="0014546A" w:rsidTr="00C34E71">
        <w:tc>
          <w:tcPr>
            <w:tcW w:w="3240" w:type="dxa"/>
          </w:tcPr>
          <w:p w:rsidR="009E35D0" w:rsidRDefault="009E35D0" w:rsidP="00C34E71">
            <w:pPr>
              <w:rPr>
                <w:rFonts w:eastAsia="Calibri"/>
                <w:sz w:val="22"/>
                <w:szCs w:val="22"/>
              </w:rPr>
            </w:pPr>
            <w:r w:rsidRPr="0014546A">
              <w:rPr>
                <w:rFonts w:eastAsia="Calibri"/>
                <w:sz w:val="22"/>
                <w:szCs w:val="22"/>
              </w:rPr>
              <w:t>Affordable Care Act (ACA) (</w:t>
            </w:r>
            <w:r>
              <w:rPr>
                <w:rFonts w:eastAsia="Calibri"/>
                <w:sz w:val="22"/>
                <w:szCs w:val="22"/>
              </w:rPr>
              <w:t>3/23/10</w:t>
            </w:r>
            <w:r w:rsidRPr="0014546A">
              <w:rPr>
                <w:rFonts w:eastAsia="Calibri"/>
                <w:sz w:val="22"/>
                <w:szCs w:val="22"/>
              </w:rPr>
              <w:t>)</w:t>
            </w:r>
          </w:p>
          <w:p w:rsidR="009E35D0" w:rsidRPr="00DD7D65" w:rsidRDefault="009E35D0" w:rsidP="00C34E71">
            <w:pPr>
              <w:rPr>
                <w:rFonts w:eastAsia="Calibri"/>
                <w:vanish/>
                <w:sz w:val="22"/>
                <w:szCs w:val="22"/>
              </w:rPr>
            </w:pPr>
            <w:r w:rsidRPr="00DD7D65">
              <w:rPr>
                <w:rFonts w:eastAsia="Calibri"/>
                <w:vanish/>
                <w:sz w:val="22"/>
                <w:szCs w:val="22"/>
              </w:rPr>
              <w:t>Baucus</w:t>
            </w:r>
            <w:r>
              <w:rPr>
                <w:rFonts w:eastAsia="Calibri"/>
                <w:vanish/>
                <w:sz w:val="22"/>
                <w:szCs w:val="22"/>
              </w:rPr>
              <w:t>/Waxman</w:t>
            </w:r>
          </w:p>
        </w:tc>
        <w:tc>
          <w:tcPr>
            <w:tcW w:w="2340" w:type="dxa"/>
          </w:tcPr>
          <w:p w:rsidR="009E35D0" w:rsidRPr="0014546A" w:rsidRDefault="009E35D0" w:rsidP="00C34E71">
            <w:pPr>
              <w:rPr>
                <w:rFonts w:eastAsia="Calibri"/>
                <w:sz w:val="22"/>
                <w:szCs w:val="22"/>
              </w:rPr>
            </w:pPr>
            <w:proofErr w:type="spellStart"/>
            <w:r w:rsidRPr="0014546A">
              <w:rPr>
                <w:rFonts w:eastAsia="Calibri"/>
                <w:sz w:val="22"/>
                <w:szCs w:val="22"/>
              </w:rPr>
              <w:t>FFYs</w:t>
            </w:r>
            <w:proofErr w:type="spellEnd"/>
            <w:r w:rsidRPr="0014546A">
              <w:rPr>
                <w:rFonts w:eastAsia="Calibri"/>
                <w:sz w:val="22"/>
                <w:szCs w:val="22"/>
              </w:rPr>
              <w:t xml:space="preserve"> 2010, 2011, 2012</w:t>
            </w:r>
          </w:p>
        </w:tc>
        <w:tc>
          <w:tcPr>
            <w:tcW w:w="2340" w:type="dxa"/>
          </w:tcPr>
          <w:p w:rsidR="009E35D0" w:rsidRPr="0014546A" w:rsidRDefault="009E35D0" w:rsidP="00C34E71">
            <w:pPr>
              <w:rPr>
                <w:rFonts w:eastAsia="Calibri"/>
                <w:sz w:val="22"/>
                <w:szCs w:val="22"/>
              </w:rPr>
            </w:pPr>
            <w:r w:rsidRPr="0014546A">
              <w:rPr>
                <w:rFonts w:eastAsia="Calibri"/>
                <w:sz w:val="22"/>
                <w:szCs w:val="22"/>
              </w:rPr>
              <w:t>Through May 2013</w:t>
            </w:r>
          </w:p>
        </w:tc>
        <w:tc>
          <w:tcPr>
            <w:tcW w:w="2610" w:type="dxa"/>
          </w:tcPr>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2010 - $5 million</w:t>
            </w:r>
          </w:p>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2011 - $5 million</w:t>
            </w:r>
          </w:p>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2012 - $5 million </w:t>
            </w:r>
          </w:p>
        </w:tc>
      </w:tr>
      <w:tr w:rsidR="009E35D0" w:rsidRPr="0014546A" w:rsidTr="00C34E71">
        <w:tc>
          <w:tcPr>
            <w:tcW w:w="3240" w:type="dxa"/>
          </w:tcPr>
          <w:p w:rsidR="009E35D0" w:rsidRPr="002A7E99" w:rsidRDefault="009E35D0" w:rsidP="00C34E71">
            <w:pPr>
              <w:rPr>
                <w:rFonts w:eastAsia="Calibri"/>
                <w:vanish/>
                <w:sz w:val="22"/>
                <w:szCs w:val="22"/>
              </w:rPr>
            </w:pPr>
            <w:r w:rsidRPr="0014546A">
              <w:rPr>
                <w:rFonts w:eastAsia="Calibri"/>
                <w:sz w:val="22"/>
                <w:szCs w:val="22"/>
              </w:rPr>
              <w:t>American Taxpayer Relief Act of 2012 (</w:t>
            </w:r>
            <w:proofErr w:type="spellStart"/>
            <w:r w:rsidRPr="0014546A">
              <w:rPr>
                <w:rFonts w:eastAsia="Calibri"/>
                <w:sz w:val="22"/>
                <w:szCs w:val="22"/>
              </w:rPr>
              <w:t>ATRA</w:t>
            </w:r>
            <w:proofErr w:type="spellEnd"/>
            <w:r w:rsidRPr="0014546A">
              <w:rPr>
                <w:rFonts w:eastAsia="Calibri"/>
                <w:sz w:val="22"/>
                <w:szCs w:val="22"/>
              </w:rPr>
              <w:t>)</w:t>
            </w:r>
            <w:r>
              <w:rPr>
                <w:rFonts w:eastAsia="Calibri"/>
                <w:sz w:val="22"/>
                <w:szCs w:val="22"/>
              </w:rPr>
              <w:t xml:space="preserve"> (1/1/13) </w:t>
            </w:r>
            <w:r w:rsidRPr="002A7E99">
              <w:rPr>
                <w:rFonts w:eastAsia="Calibri"/>
                <w:vanish/>
                <w:sz w:val="22"/>
                <w:szCs w:val="22"/>
              </w:rPr>
              <w:t>Baucus</w:t>
            </w:r>
            <w:r>
              <w:rPr>
                <w:rFonts w:eastAsia="Calibri"/>
                <w:vanish/>
                <w:sz w:val="22"/>
                <w:szCs w:val="22"/>
              </w:rPr>
              <w:t>/Upton</w:t>
            </w:r>
          </w:p>
        </w:tc>
        <w:tc>
          <w:tcPr>
            <w:tcW w:w="2340" w:type="dxa"/>
          </w:tcPr>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2013</w:t>
            </w:r>
          </w:p>
        </w:tc>
        <w:tc>
          <w:tcPr>
            <w:tcW w:w="2340" w:type="dxa"/>
          </w:tcPr>
          <w:p w:rsidR="009E35D0" w:rsidRPr="0014546A" w:rsidRDefault="009E35D0" w:rsidP="00C34E71">
            <w:pPr>
              <w:rPr>
                <w:rFonts w:eastAsia="Calibri"/>
                <w:sz w:val="22"/>
                <w:szCs w:val="22"/>
              </w:rPr>
            </w:pPr>
            <w:r w:rsidRPr="0014546A">
              <w:rPr>
                <w:rFonts w:eastAsia="Calibri"/>
                <w:sz w:val="22"/>
                <w:szCs w:val="22"/>
              </w:rPr>
              <w:t>Through May 2014</w:t>
            </w:r>
          </w:p>
        </w:tc>
        <w:tc>
          <w:tcPr>
            <w:tcW w:w="2610" w:type="dxa"/>
          </w:tcPr>
          <w:p w:rsidR="009E35D0" w:rsidRPr="0014546A" w:rsidRDefault="009E35D0" w:rsidP="00C34E71">
            <w:pPr>
              <w:rPr>
                <w:rFonts w:eastAsia="Calibri"/>
                <w:sz w:val="22"/>
                <w:szCs w:val="22"/>
              </w:rPr>
            </w:pPr>
            <w:r w:rsidRPr="0014546A">
              <w:rPr>
                <w:rFonts w:eastAsia="Calibri"/>
                <w:sz w:val="22"/>
                <w:szCs w:val="22"/>
              </w:rPr>
              <w:t xml:space="preserve">$5 million </w:t>
            </w:r>
          </w:p>
        </w:tc>
      </w:tr>
      <w:tr w:rsidR="009E35D0" w:rsidRPr="0014546A" w:rsidTr="00C34E71">
        <w:tc>
          <w:tcPr>
            <w:tcW w:w="3240" w:type="dxa"/>
          </w:tcPr>
          <w:p w:rsidR="009E35D0" w:rsidRDefault="009E35D0" w:rsidP="00C34E71">
            <w:pPr>
              <w:rPr>
                <w:rFonts w:eastAsia="Calibri"/>
                <w:sz w:val="22"/>
                <w:szCs w:val="22"/>
              </w:rPr>
            </w:pPr>
            <w:r w:rsidRPr="0014546A">
              <w:rPr>
                <w:rFonts w:eastAsia="Calibri"/>
                <w:sz w:val="22"/>
                <w:szCs w:val="22"/>
              </w:rPr>
              <w:t>Bipartisan Budget Act of 2013</w:t>
            </w:r>
            <w:r>
              <w:rPr>
                <w:rFonts w:eastAsia="Calibri"/>
                <w:sz w:val="22"/>
                <w:szCs w:val="22"/>
              </w:rPr>
              <w:t xml:space="preserve"> (BBA) (12/26/13) </w:t>
            </w:r>
          </w:p>
          <w:p w:rsidR="009E35D0" w:rsidRPr="002A7E99" w:rsidRDefault="009E35D0" w:rsidP="00C34E71">
            <w:pPr>
              <w:rPr>
                <w:rFonts w:eastAsia="Calibri"/>
                <w:vanish/>
                <w:sz w:val="22"/>
                <w:szCs w:val="22"/>
              </w:rPr>
            </w:pPr>
            <w:r w:rsidRPr="002A7E99">
              <w:rPr>
                <w:rFonts w:eastAsia="Calibri"/>
                <w:vanish/>
                <w:sz w:val="22"/>
                <w:szCs w:val="22"/>
              </w:rPr>
              <w:t>Baucus</w:t>
            </w:r>
            <w:r>
              <w:rPr>
                <w:rFonts w:eastAsia="Calibri"/>
                <w:vanish/>
                <w:sz w:val="22"/>
                <w:szCs w:val="22"/>
              </w:rPr>
              <w:t>/Upton</w:t>
            </w:r>
          </w:p>
        </w:tc>
        <w:tc>
          <w:tcPr>
            <w:tcW w:w="2340" w:type="dxa"/>
          </w:tcPr>
          <w:p w:rsidR="009E35D0" w:rsidRPr="0014546A" w:rsidRDefault="009E35D0" w:rsidP="00C34E71">
            <w:pPr>
              <w:rPr>
                <w:rFonts w:eastAsia="Calibri"/>
                <w:sz w:val="22"/>
                <w:szCs w:val="22"/>
              </w:rPr>
            </w:pPr>
            <w:r w:rsidRPr="0014546A">
              <w:rPr>
                <w:rFonts w:eastAsia="Calibri"/>
                <w:sz w:val="22"/>
                <w:szCs w:val="22"/>
              </w:rPr>
              <w:t xml:space="preserve">“Portion of FY 2014 before April 1, 2014” </w:t>
            </w:r>
          </w:p>
          <w:p w:rsidR="009E35D0" w:rsidRPr="0014546A" w:rsidRDefault="009E35D0" w:rsidP="00C34E71">
            <w:pPr>
              <w:rPr>
                <w:rFonts w:eastAsia="Calibri"/>
                <w:sz w:val="22"/>
                <w:szCs w:val="22"/>
              </w:rPr>
            </w:pPr>
            <w:r w:rsidRPr="0014546A">
              <w:rPr>
                <w:rFonts w:eastAsia="Calibri"/>
                <w:sz w:val="22"/>
                <w:szCs w:val="22"/>
              </w:rPr>
              <w:t xml:space="preserve">(first half </w:t>
            </w:r>
            <w:proofErr w:type="spellStart"/>
            <w:r w:rsidRPr="0014546A">
              <w:rPr>
                <w:rFonts w:eastAsia="Calibri"/>
                <w:sz w:val="22"/>
                <w:szCs w:val="22"/>
              </w:rPr>
              <w:t>FFY</w:t>
            </w:r>
            <w:proofErr w:type="spellEnd"/>
            <w:r w:rsidRPr="0014546A">
              <w:rPr>
                <w:rFonts w:eastAsia="Calibri"/>
                <w:sz w:val="22"/>
                <w:szCs w:val="22"/>
              </w:rPr>
              <w:t xml:space="preserve"> 2014)</w:t>
            </w:r>
          </w:p>
        </w:tc>
        <w:tc>
          <w:tcPr>
            <w:tcW w:w="2340" w:type="dxa"/>
          </w:tcPr>
          <w:p w:rsidR="009E35D0" w:rsidRPr="0014546A" w:rsidRDefault="009E35D0" w:rsidP="00C34E71">
            <w:pPr>
              <w:rPr>
                <w:rFonts w:eastAsia="Calibri"/>
                <w:sz w:val="22"/>
                <w:szCs w:val="22"/>
              </w:rPr>
            </w:pPr>
            <w:r w:rsidRPr="0014546A">
              <w:rPr>
                <w:rFonts w:eastAsia="Calibri"/>
                <w:sz w:val="22"/>
                <w:szCs w:val="22"/>
              </w:rPr>
              <w:t>Through November 2014</w:t>
            </w:r>
          </w:p>
        </w:tc>
        <w:tc>
          <w:tcPr>
            <w:tcW w:w="2610" w:type="dxa"/>
          </w:tcPr>
          <w:p w:rsidR="009E35D0" w:rsidRPr="0014546A" w:rsidRDefault="009E35D0" w:rsidP="00C34E71">
            <w:pPr>
              <w:rPr>
                <w:rFonts w:eastAsia="Calibri"/>
                <w:sz w:val="22"/>
                <w:szCs w:val="22"/>
              </w:rPr>
            </w:pPr>
            <w:r w:rsidRPr="0014546A">
              <w:rPr>
                <w:rFonts w:eastAsia="Calibri"/>
                <w:sz w:val="22"/>
                <w:szCs w:val="22"/>
              </w:rPr>
              <w:t>$2.5 million</w:t>
            </w:r>
          </w:p>
        </w:tc>
      </w:tr>
      <w:tr w:rsidR="009E35D0" w:rsidRPr="0014546A" w:rsidTr="00C34E71">
        <w:tc>
          <w:tcPr>
            <w:tcW w:w="3240" w:type="dxa"/>
          </w:tcPr>
          <w:p w:rsidR="009E35D0" w:rsidRPr="0014546A" w:rsidRDefault="009E35D0" w:rsidP="00C34E71">
            <w:pPr>
              <w:rPr>
                <w:rFonts w:eastAsia="Calibri"/>
                <w:sz w:val="22"/>
                <w:szCs w:val="22"/>
              </w:rPr>
            </w:pPr>
            <w:r w:rsidRPr="0014546A">
              <w:rPr>
                <w:rFonts w:eastAsia="Calibri"/>
                <w:sz w:val="22"/>
                <w:szCs w:val="22"/>
              </w:rPr>
              <w:t>Protecting Access to Medicare Act of 2014</w:t>
            </w:r>
            <w:r>
              <w:rPr>
                <w:rFonts w:eastAsia="Calibri"/>
                <w:sz w:val="22"/>
                <w:szCs w:val="22"/>
              </w:rPr>
              <w:t xml:space="preserve"> (4/1/14)</w:t>
            </w:r>
            <w:r w:rsidRPr="0014546A">
              <w:rPr>
                <w:rFonts w:eastAsia="Calibri"/>
                <w:sz w:val="22"/>
                <w:szCs w:val="22"/>
              </w:rPr>
              <w:t xml:space="preserve"> </w:t>
            </w:r>
          </w:p>
          <w:p w:rsidR="009E35D0" w:rsidRPr="002A7E99" w:rsidRDefault="009E35D0" w:rsidP="00C34E71">
            <w:pPr>
              <w:rPr>
                <w:rFonts w:eastAsia="Calibri"/>
                <w:vanish/>
                <w:sz w:val="22"/>
                <w:szCs w:val="22"/>
              </w:rPr>
            </w:pPr>
            <w:r w:rsidRPr="002A7E99">
              <w:rPr>
                <w:rFonts w:eastAsia="Calibri"/>
                <w:vanish/>
                <w:sz w:val="22"/>
                <w:szCs w:val="22"/>
              </w:rPr>
              <w:t>Wyden</w:t>
            </w:r>
            <w:r>
              <w:rPr>
                <w:rFonts w:eastAsia="Calibri"/>
                <w:vanish/>
                <w:sz w:val="22"/>
                <w:szCs w:val="22"/>
              </w:rPr>
              <w:t>/Upton</w:t>
            </w:r>
          </w:p>
        </w:tc>
        <w:tc>
          <w:tcPr>
            <w:tcW w:w="2340" w:type="dxa"/>
          </w:tcPr>
          <w:p w:rsidR="009E35D0" w:rsidRDefault="009E35D0" w:rsidP="00C34E71">
            <w:pPr>
              <w:rPr>
                <w:rFonts w:eastAsia="Calibri"/>
                <w:sz w:val="22"/>
                <w:szCs w:val="22"/>
              </w:rPr>
            </w:pPr>
            <w:r w:rsidRPr="0014546A">
              <w:rPr>
                <w:rFonts w:eastAsia="Calibri"/>
                <w:sz w:val="22"/>
                <w:szCs w:val="22"/>
              </w:rPr>
              <w:t>“Portion of FY 2014 on or after April 1, 2014”</w:t>
            </w:r>
            <w:r>
              <w:rPr>
                <w:rFonts w:eastAsia="Calibri"/>
                <w:sz w:val="22"/>
                <w:szCs w:val="22"/>
              </w:rPr>
              <w:t xml:space="preserve"> </w:t>
            </w:r>
            <w:r w:rsidRPr="0014546A">
              <w:rPr>
                <w:rFonts w:eastAsia="Calibri"/>
                <w:sz w:val="22"/>
                <w:szCs w:val="22"/>
              </w:rPr>
              <w:t>(</w:t>
            </w:r>
            <w:r>
              <w:rPr>
                <w:rFonts w:eastAsia="Calibri"/>
                <w:sz w:val="22"/>
                <w:szCs w:val="22"/>
              </w:rPr>
              <w:t>2</w:t>
            </w:r>
            <w:r w:rsidRPr="006E2422">
              <w:rPr>
                <w:rFonts w:eastAsia="Calibri"/>
                <w:sz w:val="22"/>
                <w:szCs w:val="22"/>
                <w:vertAlign w:val="superscript"/>
              </w:rPr>
              <w:t>nd</w:t>
            </w:r>
            <w:r w:rsidRPr="0014546A">
              <w:rPr>
                <w:rFonts w:eastAsia="Calibri"/>
                <w:sz w:val="22"/>
                <w:szCs w:val="22"/>
              </w:rPr>
              <w:t xml:space="preserve"> half </w:t>
            </w:r>
            <w:r>
              <w:rPr>
                <w:rFonts w:eastAsia="Calibri"/>
                <w:sz w:val="22"/>
                <w:szCs w:val="22"/>
              </w:rPr>
              <w:t xml:space="preserve"> </w:t>
            </w:r>
            <w:proofErr w:type="spellStart"/>
            <w:r>
              <w:rPr>
                <w:rFonts w:eastAsia="Calibri"/>
                <w:sz w:val="22"/>
                <w:szCs w:val="22"/>
              </w:rPr>
              <w:t>F</w:t>
            </w:r>
            <w:r w:rsidRPr="0014546A">
              <w:rPr>
                <w:rFonts w:eastAsia="Calibri"/>
                <w:sz w:val="22"/>
                <w:szCs w:val="22"/>
              </w:rPr>
              <w:t>FY</w:t>
            </w:r>
            <w:proofErr w:type="spellEnd"/>
            <w:r w:rsidRPr="0014546A">
              <w:rPr>
                <w:rFonts w:eastAsia="Calibri"/>
                <w:sz w:val="22"/>
                <w:szCs w:val="22"/>
              </w:rPr>
              <w:t xml:space="preserve"> 2014)</w:t>
            </w:r>
            <w:r>
              <w:rPr>
                <w:rFonts w:eastAsia="Calibri"/>
                <w:sz w:val="22"/>
                <w:szCs w:val="22"/>
              </w:rPr>
              <w:t xml:space="preserve"> </w:t>
            </w:r>
          </w:p>
          <w:p w:rsidR="009E35D0" w:rsidRPr="006E2422" w:rsidRDefault="009E35D0" w:rsidP="00C34E71">
            <w:pPr>
              <w:jc w:val="center"/>
              <w:rPr>
                <w:rFonts w:eastAsia="Calibri"/>
                <w:b/>
                <w:sz w:val="12"/>
                <w:szCs w:val="22"/>
                <w:vertAlign w:val="subscript"/>
              </w:rPr>
            </w:pPr>
            <w:r w:rsidRPr="006E2422">
              <w:rPr>
                <w:rFonts w:eastAsia="Calibri"/>
                <w:b/>
                <w:szCs w:val="22"/>
                <w:vertAlign w:val="subscript"/>
              </w:rPr>
              <w:t>+</w:t>
            </w:r>
          </w:p>
          <w:p w:rsidR="009E35D0" w:rsidRPr="0014546A" w:rsidRDefault="009E35D0" w:rsidP="00C34E71">
            <w:pPr>
              <w:rPr>
                <w:rFonts w:eastAsia="Calibri"/>
                <w:sz w:val="22"/>
                <w:szCs w:val="22"/>
              </w:rPr>
            </w:pPr>
            <w:r w:rsidRPr="0014546A">
              <w:rPr>
                <w:rFonts w:eastAsia="Calibri"/>
                <w:sz w:val="22"/>
                <w:szCs w:val="22"/>
              </w:rPr>
              <w:t xml:space="preserve">“Portion of FY 2015 before April 1, 2015” (first half </w:t>
            </w:r>
            <w:proofErr w:type="spellStart"/>
            <w:r w:rsidRPr="0014546A">
              <w:rPr>
                <w:rFonts w:eastAsia="Calibri"/>
                <w:sz w:val="22"/>
                <w:szCs w:val="22"/>
              </w:rPr>
              <w:t>FFY</w:t>
            </w:r>
            <w:proofErr w:type="spellEnd"/>
            <w:r w:rsidRPr="0014546A">
              <w:rPr>
                <w:rFonts w:eastAsia="Calibri"/>
                <w:sz w:val="22"/>
                <w:szCs w:val="22"/>
              </w:rPr>
              <w:t xml:space="preserve"> 2015)</w:t>
            </w:r>
          </w:p>
        </w:tc>
        <w:tc>
          <w:tcPr>
            <w:tcW w:w="2340" w:type="dxa"/>
          </w:tcPr>
          <w:p w:rsidR="009E35D0" w:rsidRPr="0014546A" w:rsidRDefault="009E35D0" w:rsidP="00C34E71">
            <w:pPr>
              <w:rPr>
                <w:rFonts w:eastAsia="Calibri"/>
                <w:sz w:val="22"/>
                <w:szCs w:val="22"/>
              </w:rPr>
            </w:pPr>
            <w:r w:rsidRPr="0014546A">
              <w:rPr>
                <w:rFonts w:eastAsia="Calibri"/>
                <w:sz w:val="22"/>
                <w:szCs w:val="22"/>
              </w:rPr>
              <w:t>Through May 2015</w:t>
            </w:r>
          </w:p>
          <w:p w:rsidR="009E35D0" w:rsidRPr="0014546A" w:rsidRDefault="009E35D0" w:rsidP="00C34E71">
            <w:pPr>
              <w:rPr>
                <w:rFonts w:eastAsia="Calibri"/>
                <w:sz w:val="22"/>
                <w:szCs w:val="22"/>
              </w:rPr>
            </w:pPr>
          </w:p>
          <w:p w:rsidR="009E35D0" w:rsidRPr="0014546A" w:rsidRDefault="009E35D0" w:rsidP="00C34E71">
            <w:pPr>
              <w:rPr>
                <w:rFonts w:eastAsia="Calibri"/>
                <w:sz w:val="22"/>
                <w:szCs w:val="22"/>
              </w:rPr>
            </w:pPr>
          </w:p>
          <w:p w:rsidR="009E35D0" w:rsidRPr="0014546A" w:rsidRDefault="009E35D0" w:rsidP="00C34E71">
            <w:pPr>
              <w:rPr>
                <w:rFonts w:eastAsia="Calibri"/>
                <w:sz w:val="22"/>
                <w:szCs w:val="22"/>
              </w:rPr>
            </w:pPr>
          </w:p>
          <w:p w:rsidR="009E35D0" w:rsidRPr="0014546A" w:rsidRDefault="009E35D0" w:rsidP="00C34E71">
            <w:pPr>
              <w:rPr>
                <w:rFonts w:eastAsia="Calibri"/>
                <w:sz w:val="22"/>
                <w:szCs w:val="22"/>
              </w:rPr>
            </w:pPr>
          </w:p>
          <w:p w:rsidR="009E35D0" w:rsidRPr="0014546A" w:rsidRDefault="009E35D0" w:rsidP="00C34E71">
            <w:pPr>
              <w:rPr>
                <w:rFonts w:eastAsia="Calibri"/>
                <w:sz w:val="22"/>
                <w:szCs w:val="22"/>
              </w:rPr>
            </w:pPr>
            <w:r w:rsidRPr="0014546A">
              <w:rPr>
                <w:rFonts w:eastAsia="Calibri"/>
                <w:sz w:val="22"/>
                <w:szCs w:val="22"/>
              </w:rPr>
              <w:t>Through November 2015</w:t>
            </w:r>
          </w:p>
        </w:tc>
        <w:tc>
          <w:tcPr>
            <w:tcW w:w="2610" w:type="dxa"/>
          </w:tcPr>
          <w:p w:rsidR="009E35D0" w:rsidRPr="0014546A" w:rsidRDefault="009E35D0" w:rsidP="00C34E71">
            <w:pPr>
              <w:rPr>
                <w:rFonts w:eastAsia="Calibri"/>
                <w:sz w:val="22"/>
                <w:szCs w:val="22"/>
              </w:rPr>
            </w:pPr>
            <w:r w:rsidRPr="0014546A">
              <w:rPr>
                <w:rFonts w:eastAsia="Calibri"/>
                <w:sz w:val="22"/>
                <w:szCs w:val="22"/>
              </w:rPr>
              <w:t>$2.5 million</w:t>
            </w:r>
          </w:p>
          <w:p w:rsidR="009E35D0" w:rsidRPr="0014546A" w:rsidRDefault="009E35D0" w:rsidP="00C34E71">
            <w:pPr>
              <w:rPr>
                <w:rFonts w:eastAsia="Calibri"/>
                <w:sz w:val="22"/>
                <w:szCs w:val="22"/>
              </w:rPr>
            </w:pPr>
          </w:p>
          <w:p w:rsidR="009E35D0" w:rsidRPr="0014546A" w:rsidRDefault="009E35D0" w:rsidP="00C34E71">
            <w:pPr>
              <w:rPr>
                <w:rFonts w:eastAsia="Calibri"/>
                <w:b/>
                <w:sz w:val="22"/>
                <w:szCs w:val="22"/>
                <w:vertAlign w:val="subscript"/>
              </w:rPr>
            </w:pPr>
          </w:p>
          <w:p w:rsidR="009E35D0" w:rsidRPr="00C45A8B" w:rsidRDefault="009E35D0" w:rsidP="00C34E71">
            <w:pPr>
              <w:rPr>
                <w:rFonts w:eastAsia="Calibri"/>
                <w:b/>
                <w:szCs w:val="22"/>
                <w:vertAlign w:val="subscript"/>
              </w:rPr>
            </w:pPr>
            <w:r w:rsidRPr="00C45A8B">
              <w:rPr>
                <w:rFonts w:eastAsia="Calibri"/>
                <w:b/>
                <w:szCs w:val="22"/>
                <w:vertAlign w:val="subscript"/>
              </w:rPr>
              <w:t>+</w:t>
            </w:r>
          </w:p>
          <w:p w:rsidR="009E35D0" w:rsidRPr="0014546A" w:rsidRDefault="009E35D0" w:rsidP="00C34E71">
            <w:pPr>
              <w:rPr>
                <w:rFonts w:eastAsia="Calibri"/>
                <w:sz w:val="22"/>
                <w:szCs w:val="22"/>
              </w:rPr>
            </w:pPr>
          </w:p>
          <w:p w:rsidR="009E35D0" w:rsidRPr="0014546A" w:rsidRDefault="009E35D0" w:rsidP="00C34E71">
            <w:pPr>
              <w:rPr>
                <w:rFonts w:eastAsia="Calibri"/>
                <w:sz w:val="22"/>
                <w:szCs w:val="22"/>
              </w:rPr>
            </w:pPr>
            <w:r w:rsidRPr="0014546A">
              <w:rPr>
                <w:rFonts w:eastAsia="Calibri"/>
                <w:sz w:val="22"/>
                <w:szCs w:val="22"/>
              </w:rPr>
              <w:t>$2.5 million</w:t>
            </w:r>
          </w:p>
        </w:tc>
      </w:tr>
      <w:tr w:rsidR="009E35D0" w:rsidRPr="0014546A" w:rsidTr="00C34E71">
        <w:tc>
          <w:tcPr>
            <w:tcW w:w="3240" w:type="dxa"/>
          </w:tcPr>
          <w:p w:rsidR="009E35D0" w:rsidRDefault="009E35D0" w:rsidP="00C34E71">
            <w:pPr>
              <w:rPr>
                <w:rFonts w:eastAsia="Calibri"/>
                <w:sz w:val="22"/>
                <w:szCs w:val="22"/>
              </w:rPr>
            </w:pPr>
            <w:r w:rsidRPr="0014546A">
              <w:rPr>
                <w:rFonts w:eastAsia="Calibri"/>
                <w:sz w:val="22"/>
                <w:szCs w:val="22"/>
              </w:rPr>
              <w:t>The Medicare Access and CHIP Reauthorization Act of 2015 (</w:t>
            </w:r>
            <w:proofErr w:type="spellStart"/>
            <w:r w:rsidRPr="0014546A">
              <w:rPr>
                <w:rFonts w:eastAsia="Calibri"/>
                <w:sz w:val="22"/>
                <w:szCs w:val="22"/>
              </w:rPr>
              <w:t>MACRA</w:t>
            </w:r>
            <w:proofErr w:type="spellEnd"/>
            <w:r>
              <w:rPr>
                <w:rFonts w:eastAsia="Calibri"/>
                <w:sz w:val="22"/>
                <w:szCs w:val="22"/>
              </w:rPr>
              <w:t xml:space="preserve">) (4/16/15) </w:t>
            </w:r>
          </w:p>
          <w:p w:rsidR="009E35D0" w:rsidRPr="005D7009" w:rsidRDefault="009E35D0" w:rsidP="00C34E71">
            <w:pPr>
              <w:rPr>
                <w:rFonts w:eastAsia="Calibri"/>
                <w:vanish/>
                <w:sz w:val="22"/>
                <w:szCs w:val="22"/>
              </w:rPr>
            </w:pPr>
            <w:r w:rsidRPr="005D7009">
              <w:rPr>
                <w:rFonts w:eastAsia="Calibri"/>
                <w:vanish/>
                <w:sz w:val="22"/>
                <w:szCs w:val="22"/>
              </w:rPr>
              <w:t>Hatch/Upton</w:t>
            </w:r>
          </w:p>
        </w:tc>
        <w:tc>
          <w:tcPr>
            <w:tcW w:w="2340" w:type="dxa"/>
          </w:tcPr>
          <w:p w:rsidR="009E35D0" w:rsidRPr="0014546A" w:rsidRDefault="009E35D0" w:rsidP="00C34E71">
            <w:pPr>
              <w:rPr>
                <w:rFonts w:eastAsia="Calibri"/>
                <w:sz w:val="22"/>
                <w:szCs w:val="22"/>
              </w:rPr>
            </w:pPr>
            <w:proofErr w:type="spellStart"/>
            <w:r w:rsidRPr="0014546A">
              <w:rPr>
                <w:rFonts w:eastAsia="Calibri"/>
                <w:sz w:val="22"/>
                <w:szCs w:val="22"/>
              </w:rPr>
              <w:t>FFYs</w:t>
            </w:r>
            <w:proofErr w:type="spellEnd"/>
            <w:r w:rsidRPr="0014546A">
              <w:rPr>
                <w:rFonts w:eastAsia="Calibri"/>
                <w:sz w:val="22"/>
                <w:szCs w:val="22"/>
              </w:rPr>
              <w:t xml:space="preserve"> 2015, 2016, 2017</w:t>
            </w:r>
          </w:p>
        </w:tc>
        <w:tc>
          <w:tcPr>
            <w:tcW w:w="2340" w:type="dxa"/>
          </w:tcPr>
          <w:p w:rsidR="009E35D0" w:rsidRPr="0014546A" w:rsidRDefault="009E35D0" w:rsidP="00C34E71">
            <w:pPr>
              <w:rPr>
                <w:rFonts w:eastAsia="Calibri"/>
                <w:sz w:val="22"/>
                <w:szCs w:val="22"/>
              </w:rPr>
            </w:pPr>
            <w:r w:rsidRPr="0014546A">
              <w:rPr>
                <w:rFonts w:eastAsia="Calibri"/>
                <w:sz w:val="22"/>
                <w:szCs w:val="22"/>
              </w:rPr>
              <w:t xml:space="preserve">Through May 2018 </w:t>
            </w:r>
          </w:p>
        </w:tc>
        <w:tc>
          <w:tcPr>
            <w:tcW w:w="2610" w:type="dxa"/>
          </w:tcPr>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2015 -  $5 M (total)</w:t>
            </w:r>
          </w:p>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2016 - $5 M</w:t>
            </w:r>
          </w:p>
          <w:p w:rsidR="009E35D0" w:rsidRPr="0014546A" w:rsidRDefault="009E35D0" w:rsidP="00C34E71">
            <w:pPr>
              <w:rPr>
                <w:rFonts w:eastAsia="Calibri"/>
                <w:sz w:val="22"/>
                <w:szCs w:val="22"/>
              </w:rPr>
            </w:pPr>
            <w:proofErr w:type="spellStart"/>
            <w:r w:rsidRPr="0014546A">
              <w:rPr>
                <w:rFonts w:eastAsia="Calibri"/>
                <w:sz w:val="22"/>
                <w:szCs w:val="22"/>
              </w:rPr>
              <w:t>FFY</w:t>
            </w:r>
            <w:proofErr w:type="spellEnd"/>
            <w:r w:rsidRPr="0014546A">
              <w:rPr>
                <w:rFonts w:eastAsia="Calibri"/>
                <w:sz w:val="22"/>
                <w:szCs w:val="22"/>
              </w:rPr>
              <w:t xml:space="preserve"> 2017 - $5 M</w:t>
            </w:r>
          </w:p>
        </w:tc>
      </w:tr>
      <w:tr w:rsidR="009E35D0" w:rsidRPr="0014546A" w:rsidTr="00C34E71">
        <w:tc>
          <w:tcPr>
            <w:tcW w:w="3240" w:type="dxa"/>
          </w:tcPr>
          <w:p w:rsidR="009E35D0" w:rsidRPr="000224FF" w:rsidRDefault="009E35D0" w:rsidP="00C34E71">
            <w:pPr>
              <w:rPr>
                <w:rFonts w:eastAsia="Calibri"/>
                <w:sz w:val="22"/>
              </w:rPr>
            </w:pPr>
            <w:r>
              <w:rPr>
                <w:rFonts w:eastAsia="Calibri"/>
                <w:sz w:val="22"/>
              </w:rPr>
              <w:t>The “</w:t>
            </w:r>
            <w:r w:rsidRPr="000224FF">
              <w:rPr>
                <w:rFonts w:eastAsia="Calibri"/>
                <w:sz w:val="22"/>
              </w:rPr>
              <w:t>Advancing</w:t>
            </w:r>
          </w:p>
          <w:p w:rsidR="009E35D0" w:rsidRDefault="009E35D0" w:rsidP="00C34E71">
            <w:pPr>
              <w:rPr>
                <w:rFonts w:eastAsia="Calibri"/>
                <w:sz w:val="22"/>
              </w:rPr>
            </w:pPr>
            <w:r w:rsidRPr="000224FF">
              <w:rPr>
                <w:rFonts w:eastAsia="Calibri"/>
                <w:sz w:val="22"/>
              </w:rPr>
              <w:t>Chronic Care, Extenders, and Social Services (ACCESS) Act</w:t>
            </w:r>
            <w:r>
              <w:rPr>
                <w:rFonts w:eastAsia="Calibri"/>
                <w:sz w:val="22"/>
              </w:rPr>
              <w:t xml:space="preserve">” within the Bipartisan Budget Act of 2018 (Sec. 50101) (2/9/18) </w:t>
            </w:r>
          </w:p>
          <w:p w:rsidR="009E35D0" w:rsidRPr="005D7009" w:rsidRDefault="009E35D0" w:rsidP="00C34E71">
            <w:pPr>
              <w:rPr>
                <w:rFonts w:eastAsia="Calibri"/>
                <w:vanish/>
                <w:sz w:val="22"/>
              </w:rPr>
            </w:pPr>
            <w:r w:rsidRPr="005D7009">
              <w:rPr>
                <w:rFonts w:eastAsia="Calibri"/>
                <w:vanish/>
                <w:sz w:val="22"/>
              </w:rPr>
              <w:t>Hatch/Walden</w:t>
            </w:r>
          </w:p>
        </w:tc>
        <w:tc>
          <w:tcPr>
            <w:tcW w:w="2340" w:type="dxa"/>
          </w:tcPr>
          <w:p w:rsidR="009E35D0" w:rsidRPr="0014546A" w:rsidRDefault="009E35D0" w:rsidP="00C34E71">
            <w:pPr>
              <w:rPr>
                <w:rFonts w:eastAsia="Calibri"/>
                <w:sz w:val="22"/>
              </w:rPr>
            </w:pPr>
            <w:proofErr w:type="spellStart"/>
            <w:r>
              <w:rPr>
                <w:rFonts w:eastAsia="Calibri"/>
                <w:sz w:val="22"/>
              </w:rPr>
              <w:t>FFYs</w:t>
            </w:r>
            <w:proofErr w:type="spellEnd"/>
            <w:r>
              <w:rPr>
                <w:rFonts w:eastAsia="Calibri"/>
                <w:sz w:val="22"/>
              </w:rPr>
              <w:t xml:space="preserve"> 2018 and 2019</w:t>
            </w:r>
          </w:p>
        </w:tc>
        <w:tc>
          <w:tcPr>
            <w:tcW w:w="2340" w:type="dxa"/>
          </w:tcPr>
          <w:p w:rsidR="009E35D0" w:rsidRPr="0014546A" w:rsidRDefault="009E35D0" w:rsidP="00C34E71">
            <w:pPr>
              <w:rPr>
                <w:rFonts w:eastAsia="Calibri"/>
                <w:sz w:val="22"/>
              </w:rPr>
            </w:pPr>
            <w:r>
              <w:rPr>
                <w:rFonts w:eastAsia="Calibri"/>
                <w:sz w:val="22"/>
              </w:rPr>
              <w:t>Through May 2020</w:t>
            </w:r>
          </w:p>
        </w:tc>
        <w:tc>
          <w:tcPr>
            <w:tcW w:w="2610" w:type="dxa"/>
          </w:tcPr>
          <w:p w:rsidR="009E35D0" w:rsidRDefault="009E35D0" w:rsidP="00C34E71">
            <w:pPr>
              <w:rPr>
                <w:rFonts w:eastAsia="Calibri"/>
                <w:sz w:val="22"/>
              </w:rPr>
            </w:pPr>
            <w:proofErr w:type="spellStart"/>
            <w:r>
              <w:rPr>
                <w:rFonts w:eastAsia="Calibri"/>
                <w:sz w:val="22"/>
              </w:rPr>
              <w:t>FFY</w:t>
            </w:r>
            <w:proofErr w:type="spellEnd"/>
            <w:r>
              <w:rPr>
                <w:rFonts w:eastAsia="Calibri"/>
                <w:sz w:val="22"/>
              </w:rPr>
              <w:t xml:space="preserve"> 2018 - $6 million </w:t>
            </w:r>
          </w:p>
          <w:p w:rsidR="009E35D0" w:rsidRDefault="009E35D0" w:rsidP="00C34E71">
            <w:pPr>
              <w:rPr>
                <w:rFonts w:eastAsia="Calibri"/>
                <w:sz w:val="22"/>
              </w:rPr>
            </w:pPr>
            <w:proofErr w:type="spellStart"/>
            <w:r>
              <w:rPr>
                <w:rFonts w:eastAsia="Calibri"/>
                <w:sz w:val="22"/>
              </w:rPr>
              <w:t>FFY</w:t>
            </w:r>
            <w:proofErr w:type="spellEnd"/>
            <w:r>
              <w:rPr>
                <w:rFonts w:eastAsia="Calibri"/>
                <w:sz w:val="22"/>
              </w:rPr>
              <w:t xml:space="preserve"> 2019 - $6 million </w:t>
            </w:r>
          </w:p>
          <w:p w:rsidR="009E35D0" w:rsidRDefault="009E35D0" w:rsidP="00C34E71">
            <w:pPr>
              <w:rPr>
                <w:rFonts w:eastAsia="Calibri"/>
                <w:sz w:val="22"/>
              </w:rPr>
            </w:pPr>
          </w:p>
          <w:p w:rsidR="009E35D0" w:rsidRPr="0014546A" w:rsidRDefault="009E35D0" w:rsidP="006136D9">
            <w:pPr>
              <w:rPr>
                <w:rFonts w:eastAsia="Calibri"/>
                <w:sz w:val="22"/>
              </w:rPr>
            </w:pPr>
            <w:r>
              <w:rPr>
                <w:rFonts w:eastAsia="Calibri"/>
                <w:sz w:val="22"/>
              </w:rPr>
              <w:t xml:space="preserve">+ </w:t>
            </w:r>
            <w:r w:rsidRPr="000F2EAF">
              <w:rPr>
                <w:rFonts w:eastAsia="Calibri"/>
                <w:sz w:val="19"/>
                <w:szCs w:val="19"/>
              </w:rPr>
              <w:t xml:space="preserve">amendment to develop at least one F2F for Indian tribes and an F2F in each </w:t>
            </w:r>
            <w:r w:rsidR="006136D9">
              <w:rPr>
                <w:rFonts w:eastAsia="Calibri"/>
                <w:sz w:val="19"/>
                <w:szCs w:val="19"/>
              </w:rPr>
              <w:t xml:space="preserve">of 5 </w:t>
            </w:r>
            <w:r>
              <w:rPr>
                <w:rFonts w:eastAsia="Calibri"/>
                <w:sz w:val="19"/>
                <w:szCs w:val="19"/>
              </w:rPr>
              <w:t xml:space="preserve">US </w:t>
            </w:r>
            <w:r w:rsidR="006136D9">
              <w:rPr>
                <w:rFonts w:eastAsia="Calibri"/>
                <w:sz w:val="19"/>
                <w:szCs w:val="19"/>
              </w:rPr>
              <w:t xml:space="preserve">territories </w:t>
            </w:r>
            <w:r w:rsidRPr="000F2EAF">
              <w:rPr>
                <w:rFonts w:eastAsia="Calibri"/>
                <w:sz w:val="19"/>
                <w:szCs w:val="19"/>
              </w:rPr>
              <w:t>(American Samoa, Guam, Northern Mariana Islands, Puerto Rico, US Virgin Islands)</w:t>
            </w:r>
          </w:p>
        </w:tc>
      </w:tr>
    </w:tbl>
    <w:p w:rsidR="00E82A63" w:rsidRPr="00901391" w:rsidRDefault="00901391" w:rsidP="00901391">
      <w:pPr>
        <w:pStyle w:val="ListParagraph"/>
        <w:spacing w:before="60" w:after="240"/>
        <w:ind w:left="0"/>
        <w:jc w:val="right"/>
        <w:rPr>
          <w:rFonts w:eastAsia="Calibri"/>
          <w:i/>
          <w:vanish/>
          <w:sz w:val="18"/>
          <w:szCs w:val="20"/>
        </w:rPr>
      </w:pPr>
      <w:r>
        <w:rPr>
          <w:rFonts w:eastAsia="Calibri"/>
          <w:i/>
          <w:vanish/>
          <w:sz w:val="18"/>
          <w:szCs w:val="20"/>
        </w:rPr>
        <w:fldChar w:fldCharType="begin"/>
      </w:r>
      <w:r>
        <w:rPr>
          <w:rFonts w:eastAsia="Calibri"/>
          <w:i/>
          <w:vanish/>
          <w:sz w:val="18"/>
          <w:szCs w:val="20"/>
        </w:rPr>
        <w:instrText xml:space="preserve"> FILENAME  \* Lower \p  </w:instrText>
      </w:r>
      <w:r>
        <w:rPr>
          <w:rFonts w:eastAsia="Calibri"/>
          <w:i/>
          <w:vanish/>
          <w:sz w:val="18"/>
          <w:szCs w:val="20"/>
        </w:rPr>
        <w:fldChar w:fldCharType="separate"/>
      </w:r>
      <w:r>
        <w:rPr>
          <w:rFonts w:eastAsia="Calibri"/>
          <w:i/>
          <w:noProof/>
          <w:vanish/>
          <w:sz w:val="18"/>
          <w:szCs w:val="20"/>
        </w:rPr>
        <w:t>c:\users\owner\documents\3 family voices\001 f2f\01- 2018-2019 reauthor\summary  2018 f2f amndmts + $ history 04.17.19.docx</w:t>
      </w:r>
      <w:r>
        <w:rPr>
          <w:rFonts w:eastAsia="Calibri"/>
          <w:i/>
          <w:vanish/>
          <w:sz w:val="18"/>
          <w:szCs w:val="20"/>
        </w:rPr>
        <w:fldChar w:fldCharType="end"/>
      </w:r>
      <w:bookmarkStart w:id="0" w:name="_GoBack"/>
      <w:bookmarkEnd w:id="0"/>
    </w:p>
    <w:sectPr w:rsidR="00E82A63" w:rsidRPr="00901391" w:rsidSect="00E82A6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756E"/>
    <w:multiLevelType w:val="hybridMultilevel"/>
    <w:tmpl w:val="35FE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C3"/>
    <w:rsid w:val="00012438"/>
    <w:rsid w:val="000939A6"/>
    <w:rsid w:val="000C02DC"/>
    <w:rsid w:val="0011751B"/>
    <w:rsid w:val="00281893"/>
    <w:rsid w:val="003116F3"/>
    <w:rsid w:val="00553CCC"/>
    <w:rsid w:val="005A0A37"/>
    <w:rsid w:val="005B6CBD"/>
    <w:rsid w:val="006136D9"/>
    <w:rsid w:val="0068128C"/>
    <w:rsid w:val="006D46B4"/>
    <w:rsid w:val="007D1BF8"/>
    <w:rsid w:val="008C1EBF"/>
    <w:rsid w:val="00901391"/>
    <w:rsid w:val="009B69C3"/>
    <w:rsid w:val="009E35D0"/>
    <w:rsid w:val="00AB0DDF"/>
    <w:rsid w:val="00B43624"/>
    <w:rsid w:val="00B723A0"/>
    <w:rsid w:val="00C3488E"/>
    <w:rsid w:val="00C74300"/>
    <w:rsid w:val="00CB372D"/>
    <w:rsid w:val="00CD32E1"/>
    <w:rsid w:val="00D052DF"/>
    <w:rsid w:val="00D7745C"/>
    <w:rsid w:val="00D8423E"/>
    <w:rsid w:val="00E14A5E"/>
    <w:rsid w:val="00E36FCE"/>
    <w:rsid w:val="00E82A63"/>
    <w:rsid w:val="00EA55F3"/>
    <w:rsid w:val="00EE2692"/>
    <w:rsid w:val="00FA2D13"/>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30B"/>
  <w15:chartTrackingRefBased/>
  <w15:docId w15:val="{B574D8F6-1ED3-45F1-9B94-564EC810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C3"/>
    <w:pPr>
      <w:spacing w:before="0" w:beforeAutospacing="0" w:after="0" w:afterAutospacing="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UHeading">
    <w:name w:val="WU Heading"/>
    <w:basedOn w:val="NormalWeb"/>
    <w:link w:val="WUHeadingChar"/>
    <w:qFormat/>
    <w:rsid w:val="00C3488E"/>
    <w:pPr>
      <w:shd w:val="clear" w:color="auto" w:fill="FFFFFF"/>
    </w:pPr>
    <w:rPr>
      <w:rFonts w:ascii="Calibri" w:hAnsi="Calibri" w:cstheme="minorBidi"/>
      <w:b/>
      <w:bCs/>
      <w:caps/>
      <w:color w:val="C00000"/>
      <w:lang w:val="en"/>
    </w:rPr>
  </w:style>
  <w:style w:type="character" w:customStyle="1" w:styleId="WUHeadingChar">
    <w:name w:val="WU Heading Char"/>
    <w:basedOn w:val="DefaultParagraphFont"/>
    <w:link w:val="WUHeading"/>
    <w:rsid w:val="00C3488E"/>
    <w:rPr>
      <w:rFonts w:ascii="Calibri" w:hAnsi="Calibri"/>
      <w:b/>
      <w:bCs/>
      <w:caps/>
      <w:color w:val="C00000"/>
      <w:sz w:val="24"/>
      <w:szCs w:val="24"/>
      <w:shd w:val="clear" w:color="auto" w:fill="FFFFFF"/>
      <w:lang w:val="en"/>
    </w:rPr>
  </w:style>
  <w:style w:type="paragraph" w:styleId="NormalWeb">
    <w:name w:val="Normal (Web)"/>
    <w:basedOn w:val="Normal"/>
    <w:unhideWhenUsed/>
    <w:rsid w:val="00C3488E"/>
  </w:style>
  <w:style w:type="paragraph" w:styleId="ListParagraph">
    <w:name w:val="List Paragraph"/>
    <w:basedOn w:val="Normal"/>
    <w:uiPriority w:val="99"/>
    <w:qFormat/>
    <w:rsid w:val="009B69C3"/>
    <w:pPr>
      <w:ind w:left="720"/>
      <w:contextualSpacing/>
    </w:pPr>
  </w:style>
  <w:style w:type="character" w:styleId="Hyperlink">
    <w:name w:val="Hyperlink"/>
    <w:basedOn w:val="DefaultParagraphFont"/>
    <w:uiPriority w:val="99"/>
    <w:unhideWhenUsed/>
    <w:rsid w:val="00E82A63"/>
    <w:rPr>
      <w:color w:val="0563C1" w:themeColor="hyperlink"/>
      <w:u w:val="single"/>
    </w:rPr>
  </w:style>
  <w:style w:type="table" w:styleId="TableGrid">
    <w:name w:val="Table Grid"/>
    <w:basedOn w:val="TableNormal"/>
    <w:uiPriority w:val="59"/>
    <w:rsid w:val="009E35D0"/>
    <w:pPr>
      <w:spacing w:before="0" w:beforeAutospacing="0" w:after="0" w:afterAutospacing="0"/>
    </w:pPr>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uerney@familyvoice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Guerney</dc:creator>
  <cp:keywords/>
  <dc:description/>
  <cp:lastModifiedBy>Janis Guerney</cp:lastModifiedBy>
  <cp:revision>3</cp:revision>
  <cp:lastPrinted>2018-12-07T13:01:00Z</cp:lastPrinted>
  <dcterms:created xsi:type="dcterms:W3CDTF">2019-04-17T16:53:00Z</dcterms:created>
  <dcterms:modified xsi:type="dcterms:W3CDTF">2019-04-17T16:54:00Z</dcterms:modified>
</cp:coreProperties>
</file>